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2339"/>
        <w:gridCol w:w="1700"/>
        <w:gridCol w:w="5529"/>
      </w:tblGrid>
      <w:tr w:rsidR="008F2D65" w:rsidTr="00F64C85">
        <w:trPr>
          <w:cantSplit/>
        </w:trPr>
        <w:tc>
          <w:tcPr>
            <w:tcW w:w="2339" w:type="dxa"/>
          </w:tcPr>
          <w:p w:rsidR="008F2D65" w:rsidRDefault="000C071A" w:rsidP="00F64C85">
            <w:pPr>
              <w:jc w:val="center"/>
              <w:rPr>
                <w:rFonts w:ascii="Arial" w:hAnsi="Arial"/>
                <w:sz w:val="22"/>
              </w:rPr>
            </w:pPr>
            <w:bookmarkStart w:id="0" w:name="_Hlk793772"/>
            <w:r>
              <w:rPr>
                <w:rFonts w:ascii="Arial" w:hAnsi="Arial"/>
                <w:noProof/>
                <w:sz w:val="22"/>
              </w:rPr>
              <w:drawing>
                <wp:inline distT="0" distB="0" distL="0" distR="0" wp14:anchorId="7B568993" wp14:editId="41E8C842">
                  <wp:extent cx="1470660" cy="1404620"/>
                  <wp:effectExtent l="19050" t="0" r="0" b="0"/>
                  <wp:docPr id="1" name="Image 1" descr="Bla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son- 1"/>
                          <pic:cNvPicPr>
                            <a:picLocks noChangeAspect="1" noChangeArrowheads="1"/>
                          </pic:cNvPicPr>
                        </pic:nvPicPr>
                        <pic:blipFill>
                          <a:blip r:embed="rId7" cstate="print"/>
                          <a:srcRect/>
                          <a:stretch>
                            <a:fillRect/>
                          </a:stretch>
                        </pic:blipFill>
                        <pic:spPr bwMode="auto">
                          <a:xfrm>
                            <a:off x="0" y="0"/>
                            <a:ext cx="1470660" cy="1404620"/>
                          </a:xfrm>
                          <a:prstGeom prst="rect">
                            <a:avLst/>
                          </a:prstGeom>
                          <a:noFill/>
                          <a:ln w="9525">
                            <a:noFill/>
                            <a:miter lim="800000"/>
                            <a:headEnd/>
                            <a:tailEnd/>
                          </a:ln>
                        </pic:spPr>
                      </pic:pic>
                    </a:graphicData>
                  </a:graphic>
                </wp:inline>
              </w:drawing>
            </w:r>
          </w:p>
          <w:p w:rsidR="008F2D65" w:rsidRDefault="008F2D65" w:rsidP="00F64C85">
            <w:pPr>
              <w:jc w:val="center"/>
              <w:rPr>
                <w:rFonts w:ascii="Arial" w:hAnsi="Arial"/>
                <w:sz w:val="22"/>
              </w:rPr>
            </w:pPr>
          </w:p>
          <w:p w:rsidR="008F2D65" w:rsidRDefault="008F2D65" w:rsidP="00F64C85">
            <w:pPr>
              <w:jc w:val="center"/>
              <w:rPr>
                <w:rFonts w:ascii="Arial" w:hAnsi="Arial"/>
                <w:b/>
                <w:sz w:val="22"/>
              </w:rPr>
            </w:pPr>
            <w:bookmarkStart w:id="1" w:name="_Hlk793725"/>
            <w:r>
              <w:rPr>
                <w:rFonts w:ascii="Arial" w:hAnsi="Arial"/>
                <w:b/>
                <w:sz w:val="22"/>
              </w:rPr>
              <w:t>Mairie de CERBERE</w:t>
            </w:r>
          </w:p>
          <w:p w:rsidR="008F2D65" w:rsidRDefault="008F2D65" w:rsidP="00F64C85">
            <w:pPr>
              <w:jc w:val="center"/>
              <w:rPr>
                <w:rFonts w:ascii="Arial" w:hAnsi="Arial"/>
                <w:b/>
                <w:sz w:val="22"/>
              </w:rPr>
            </w:pPr>
            <w:r>
              <w:rPr>
                <w:rFonts w:ascii="Arial" w:hAnsi="Arial"/>
                <w:b/>
                <w:sz w:val="22"/>
              </w:rPr>
              <w:t>66290</w:t>
            </w:r>
          </w:p>
          <w:p w:rsidR="008F2D65" w:rsidRDefault="008F2D65" w:rsidP="00F64C85">
            <w:pPr>
              <w:jc w:val="center"/>
              <w:rPr>
                <w:rFonts w:ascii="Arial" w:hAnsi="Arial"/>
                <w:b/>
                <w:sz w:val="22"/>
              </w:rPr>
            </w:pPr>
            <w:r>
              <w:rPr>
                <w:rFonts w:ascii="Arial" w:hAnsi="Arial"/>
                <w:b/>
                <w:sz w:val="22"/>
              </w:rPr>
              <w:t>________</w:t>
            </w:r>
          </w:p>
          <w:p w:rsidR="008F2D65" w:rsidRDefault="008F2D65" w:rsidP="00F64C85">
            <w:pPr>
              <w:jc w:val="center"/>
              <w:rPr>
                <w:rFonts w:ascii="Arial" w:hAnsi="Arial"/>
                <w:sz w:val="22"/>
              </w:rPr>
            </w:pPr>
          </w:p>
          <w:p w:rsidR="008F2D65" w:rsidRDefault="008F2D65" w:rsidP="00F64C85">
            <w:pPr>
              <w:jc w:val="center"/>
              <w:rPr>
                <w:rFonts w:ascii="Arial" w:hAnsi="Arial"/>
                <w:sz w:val="22"/>
              </w:rPr>
            </w:pPr>
            <w:r>
              <w:rPr>
                <w:rFonts w:ascii="Arial" w:hAnsi="Arial"/>
                <w:sz w:val="22"/>
              </w:rPr>
              <w:t>Tél. 04.68.88.41.85</w:t>
            </w:r>
          </w:p>
          <w:p w:rsidR="008F2D65" w:rsidRDefault="008F2D65" w:rsidP="00F64C85">
            <w:pPr>
              <w:jc w:val="center"/>
              <w:rPr>
                <w:rFonts w:ascii="Arial" w:hAnsi="Arial"/>
                <w:sz w:val="22"/>
              </w:rPr>
            </w:pPr>
            <w:r>
              <w:rPr>
                <w:rFonts w:ascii="Arial" w:hAnsi="Arial"/>
                <w:sz w:val="22"/>
              </w:rPr>
              <w:t>Fax. 04.68.88.47.64</w:t>
            </w:r>
          </w:p>
          <w:bookmarkEnd w:id="1"/>
          <w:p w:rsidR="008F2D65" w:rsidRDefault="008F2D65" w:rsidP="00F64C85">
            <w:pPr>
              <w:jc w:val="center"/>
              <w:rPr>
                <w:rFonts w:ascii="Arial" w:hAnsi="Arial"/>
                <w:sz w:val="22"/>
              </w:rPr>
            </w:pPr>
          </w:p>
          <w:p w:rsidR="008F2D65" w:rsidRDefault="008F2D65" w:rsidP="00F64C85">
            <w:pPr>
              <w:jc w:val="center"/>
              <w:rPr>
                <w:rFonts w:ascii="Arial" w:hAnsi="Arial"/>
                <w:sz w:val="22"/>
              </w:rPr>
            </w:pPr>
          </w:p>
        </w:tc>
        <w:tc>
          <w:tcPr>
            <w:tcW w:w="1700" w:type="dxa"/>
          </w:tcPr>
          <w:p w:rsidR="008F2D65" w:rsidRDefault="008F2D65" w:rsidP="00F64C85">
            <w:pPr>
              <w:jc w:val="both"/>
              <w:rPr>
                <w:rFonts w:ascii="Arial" w:hAnsi="Arial"/>
                <w:sz w:val="22"/>
              </w:rPr>
            </w:pPr>
          </w:p>
        </w:tc>
        <w:tc>
          <w:tcPr>
            <w:tcW w:w="5529" w:type="dxa"/>
          </w:tcPr>
          <w:p w:rsidR="008F2D65" w:rsidRDefault="008F2D65" w:rsidP="00F64C85">
            <w:pPr>
              <w:rPr>
                <w:rFonts w:ascii="Arial" w:hAnsi="Arial"/>
                <w:b/>
                <w:smallCaps/>
                <w:sz w:val="22"/>
              </w:rPr>
            </w:pPr>
            <w:r>
              <w:rPr>
                <w:rFonts w:ascii="Arial" w:hAnsi="Arial"/>
                <w:b/>
                <w:smallCaps/>
                <w:sz w:val="22"/>
              </w:rPr>
              <w:t>RÉPUBLIQUE FRANÇAISE</w:t>
            </w:r>
          </w:p>
          <w:p w:rsidR="008F2D65" w:rsidRDefault="008F2D65" w:rsidP="00F64C85">
            <w:pPr>
              <w:ind w:left="709"/>
              <w:rPr>
                <w:rFonts w:ascii="Arial" w:hAnsi="Arial"/>
                <w:sz w:val="22"/>
              </w:rPr>
            </w:pPr>
            <w:r>
              <w:rPr>
                <w:rFonts w:ascii="Arial" w:hAnsi="Arial"/>
                <w:sz w:val="22"/>
              </w:rPr>
              <w:t>____________</w:t>
            </w:r>
          </w:p>
          <w:p w:rsidR="008F2D65" w:rsidRDefault="008F2D65" w:rsidP="00F64C85">
            <w:pPr>
              <w:jc w:val="both"/>
              <w:rPr>
                <w:rFonts w:ascii="Arial" w:hAnsi="Arial"/>
                <w:sz w:val="22"/>
              </w:rPr>
            </w:pPr>
          </w:p>
          <w:p w:rsidR="008F2D65" w:rsidRDefault="008F2D65"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p w:rsidR="000D17C4" w:rsidRDefault="000D17C4" w:rsidP="009B58C5">
            <w:pPr>
              <w:ind w:left="709"/>
              <w:jc w:val="both"/>
              <w:rPr>
                <w:rFonts w:ascii="Arial" w:hAnsi="Arial"/>
                <w:sz w:val="22"/>
              </w:rPr>
            </w:pPr>
          </w:p>
        </w:tc>
      </w:tr>
      <w:tr w:rsidR="00E363C2" w:rsidTr="00F64C85">
        <w:trPr>
          <w:cantSplit/>
        </w:trPr>
        <w:tc>
          <w:tcPr>
            <w:tcW w:w="2339" w:type="dxa"/>
          </w:tcPr>
          <w:p w:rsidR="00E363C2" w:rsidRDefault="00E363C2" w:rsidP="00F64C85">
            <w:pPr>
              <w:jc w:val="center"/>
              <w:rPr>
                <w:rFonts w:ascii="Arial" w:hAnsi="Arial"/>
                <w:noProof/>
                <w:sz w:val="22"/>
              </w:rPr>
            </w:pPr>
          </w:p>
        </w:tc>
        <w:tc>
          <w:tcPr>
            <w:tcW w:w="1700" w:type="dxa"/>
          </w:tcPr>
          <w:p w:rsidR="00E363C2" w:rsidRDefault="00E363C2" w:rsidP="00F64C85">
            <w:pPr>
              <w:jc w:val="both"/>
              <w:rPr>
                <w:rFonts w:ascii="Arial" w:hAnsi="Arial"/>
                <w:sz w:val="22"/>
              </w:rPr>
            </w:pPr>
          </w:p>
        </w:tc>
        <w:tc>
          <w:tcPr>
            <w:tcW w:w="5529" w:type="dxa"/>
          </w:tcPr>
          <w:p w:rsidR="00E363C2" w:rsidRDefault="00E363C2" w:rsidP="00F64C85">
            <w:pPr>
              <w:rPr>
                <w:rFonts w:ascii="Arial" w:hAnsi="Arial"/>
                <w:b/>
                <w:smallCaps/>
                <w:sz w:val="22"/>
              </w:rPr>
            </w:pPr>
          </w:p>
        </w:tc>
      </w:tr>
      <w:bookmarkEnd w:id="0"/>
    </w:tbl>
    <w:p w:rsidR="008F2D65" w:rsidRDefault="008F2D65" w:rsidP="003B4DDA">
      <w:pPr>
        <w:jc w:val="both"/>
        <w:rPr>
          <w:rFonts w:ascii="Arial" w:hAnsi="Arial"/>
          <w:sz w:val="22"/>
        </w:rPr>
      </w:pPr>
    </w:p>
    <w:p w:rsidR="000D17C4" w:rsidRDefault="000D17C4" w:rsidP="003B4DDA">
      <w:pPr>
        <w:jc w:val="both"/>
        <w:rPr>
          <w:rFonts w:ascii="Arial" w:hAnsi="Arial"/>
          <w:sz w:val="22"/>
        </w:rPr>
      </w:pPr>
    </w:p>
    <w:p w:rsidR="000D17C4" w:rsidRDefault="000D17C4" w:rsidP="003B4DDA">
      <w:pPr>
        <w:jc w:val="both"/>
        <w:rPr>
          <w:rFonts w:ascii="Arial" w:hAnsi="Arial"/>
          <w:sz w:val="22"/>
        </w:rPr>
      </w:pP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0D17C4" w:rsidRPr="000D17C4" w:rsidRDefault="0027384B"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Pr>
          <w:rFonts w:ascii="Arial" w:hAnsi="Arial"/>
          <w:b/>
          <w:color w:val="000000" w:themeColor="text1"/>
          <w:sz w:val="36"/>
          <w:szCs w:val="36"/>
        </w:rPr>
        <w:t>REGLEMENT DE LA CONSULTATION</w:t>
      </w:r>
    </w:p>
    <w:p w:rsid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r w:rsidRPr="000D17C4">
        <w:rPr>
          <w:rFonts w:ascii="Arial" w:hAnsi="Arial"/>
          <w:b/>
          <w:color w:val="000000" w:themeColor="text1"/>
          <w:sz w:val="36"/>
          <w:szCs w:val="36"/>
        </w:rPr>
        <w:t>(</w:t>
      </w:r>
      <w:r w:rsidR="0027384B">
        <w:rPr>
          <w:rFonts w:ascii="Arial" w:hAnsi="Arial"/>
          <w:b/>
          <w:color w:val="000000" w:themeColor="text1"/>
          <w:sz w:val="36"/>
          <w:szCs w:val="36"/>
        </w:rPr>
        <w:t>R.D.C</w:t>
      </w:r>
      <w:r w:rsidRPr="000D17C4">
        <w:rPr>
          <w:rFonts w:ascii="Arial" w:hAnsi="Arial"/>
          <w:b/>
          <w:color w:val="000000" w:themeColor="text1"/>
          <w:sz w:val="36"/>
          <w:szCs w:val="36"/>
        </w:rPr>
        <w:t>)</w:t>
      </w:r>
    </w:p>
    <w:p w:rsidR="000D17C4" w:rsidRPr="000D17C4" w:rsidRDefault="000D17C4" w:rsidP="000D17C4">
      <w:pPr>
        <w:pBdr>
          <w:top w:val="single" w:sz="4" w:space="1" w:color="auto"/>
          <w:left w:val="single" w:sz="4" w:space="4" w:color="auto"/>
          <w:bottom w:val="single" w:sz="4" w:space="1" w:color="auto"/>
          <w:right w:val="single" w:sz="4" w:space="4" w:color="auto"/>
        </w:pBdr>
        <w:jc w:val="center"/>
        <w:rPr>
          <w:rFonts w:ascii="Arial" w:hAnsi="Arial"/>
          <w:b/>
          <w:color w:val="000000" w:themeColor="text1"/>
          <w:sz w:val="36"/>
          <w:szCs w:val="36"/>
        </w:rPr>
      </w:pPr>
    </w:p>
    <w:p w:rsidR="00F64C85" w:rsidRDefault="00F64C85"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8F2D65">
      <w:pPr>
        <w:jc w:val="both"/>
        <w:rPr>
          <w:rFonts w:ascii="Arial" w:hAnsi="Arial"/>
          <w:sz w:val="36"/>
          <w:szCs w:val="36"/>
        </w:rPr>
      </w:pPr>
    </w:p>
    <w:p w:rsidR="000D17C4" w:rsidRDefault="000D17C4"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Pouvoir adjudicateur : Commune de Cerbère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23 avenue du Général de Gaulle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r>
        <w:rPr>
          <w:rFonts w:ascii="Arial" w:hAnsi="Arial"/>
          <w:sz w:val="36"/>
          <w:szCs w:val="36"/>
        </w:rPr>
        <w:t>66 290 CERBERE</w:t>
      </w:r>
    </w:p>
    <w:p w:rsidR="00240153" w:rsidRDefault="00240153" w:rsidP="00240153">
      <w:pPr>
        <w:pBdr>
          <w:top w:val="single" w:sz="4" w:space="1" w:color="auto"/>
          <w:left w:val="single" w:sz="4" w:space="4" w:color="auto"/>
          <w:bottom w:val="single" w:sz="4" w:space="1" w:color="auto"/>
          <w:right w:val="single" w:sz="4" w:space="4" w:color="auto"/>
        </w:pBdr>
        <w:jc w:val="both"/>
        <w:rPr>
          <w:rFonts w:ascii="Arial" w:hAnsi="Arial"/>
          <w:sz w:val="36"/>
          <w:szCs w:val="36"/>
        </w:rPr>
      </w:pPr>
    </w:p>
    <w:p w:rsidR="000D17C4" w:rsidRDefault="000D17C4" w:rsidP="008F2D65">
      <w:pPr>
        <w:jc w:val="both"/>
        <w:rPr>
          <w:rFonts w:ascii="Arial" w:hAnsi="Arial"/>
          <w:sz w:val="36"/>
          <w:szCs w:val="36"/>
        </w:rPr>
      </w:pPr>
    </w:p>
    <w:p w:rsidR="000D17C4" w:rsidRDefault="003A4DB1" w:rsidP="008F2D65">
      <w:pPr>
        <w:jc w:val="both"/>
        <w:rPr>
          <w:rFonts w:ascii="Arial" w:hAnsi="Arial"/>
          <w:sz w:val="24"/>
          <w:szCs w:val="24"/>
        </w:rPr>
      </w:pPr>
      <w:r>
        <w:rPr>
          <w:rFonts w:ascii="Arial" w:hAnsi="Arial"/>
          <w:sz w:val="24"/>
          <w:szCs w:val="24"/>
        </w:rPr>
        <w:t xml:space="preserve">Marché de travaux remplacement de candélabres et reprise réseaux éclairage public du Front de </w:t>
      </w:r>
      <w:r w:rsidR="00995898">
        <w:rPr>
          <w:rFonts w:ascii="Arial" w:hAnsi="Arial"/>
          <w:sz w:val="24"/>
          <w:szCs w:val="24"/>
        </w:rPr>
        <w:t>M</w:t>
      </w:r>
      <w:r>
        <w:rPr>
          <w:rFonts w:ascii="Arial" w:hAnsi="Arial"/>
          <w:sz w:val="24"/>
          <w:szCs w:val="24"/>
        </w:rPr>
        <w:t xml:space="preserve">er et de la </w:t>
      </w:r>
      <w:r w:rsidR="00995898">
        <w:rPr>
          <w:rFonts w:ascii="Arial" w:hAnsi="Arial"/>
          <w:sz w:val="24"/>
          <w:szCs w:val="24"/>
        </w:rPr>
        <w:t>P</w:t>
      </w:r>
      <w:r>
        <w:rPr>
          <w:rFonts w:ascii="Arial" w:hAnsi="Arial"/>
          <w:sz w:val="24"/>
          <w:szCs w:val="24"/>
        </w:rPr>
        <w:t>lace de</w:t>
      </w:r>
      <w:r w:rsidR="00995898">
        <w:rPr>
          <w:rFonts w:ascii="Arial" w:hAnsi="Arial"/>
          <w:sz w:val="24"/>
          <w:szCs w:val="24"/>
        </w:rPr>
        <w:t xml:space="preserve"> </w:t>
      </w:r>
      <w:r>
        <w:rPr>
          <w:rFonts w:ascii="Arial" w:hAnsi="Arial"/>
          <w:sz w:val="24"/>
          <w:szCs w:val="24"/>
        </w:rPr>
        <w:t>la République</w:t>
      </w:r>
    </w:p>
    <w:p w:rsidR="00240153" w:rsidRDefault="00240153" w:rsidP="008F2D65">
      <w:pPr>
        <w:jc w:val="both"/>
        <w:rPr>
          <w:rFonts w:ascii="Arial" w:hAnsi="Arial"/>
          <w:sz w:val="24"/>
          <w:szCs w:val="24"/>
        </w:rPr>
      </w:pPr>
    </w:p>
    <w:p w:rsidR="00240153" w:rsidRDefault="00240153" w:rsidP="008F2D65">
      <w:pPr>
        <w:jc w:val="both"/>
        <w:rPr>
          <w:rFonts w:ascii="Arial" w:hAnsi="Arial"/>
          <w:sz w:val="24"/>
          <w:szCs w:val="24"/>
        </w:rPr>
      </w:pPr>
      <w:r>
        <w:rPr>
          <w:rFonts w:ascii="Arial" w:hAnsi="Arial"/>
          <w:sz w:val="24"/>
          <w:szCs w:val="24"/>
        </w:rPr>
        <w:t>Marché à procédure adaptée passé en application des dispositions de l’article 2</w:t>
      </w:r>
      <w:r w:rsidR="002E148A">
        <w:rPr>
          <w:rFonts w:ascii="Arial" w:hAnsi="Arial"/>
          <w:sz w:val="24"/>
          <w:szCs w:val="24"/>
        </w:rPr>
        <w:t>7</w:t>
      </w:r>
      <w:r>
        <w:rPr>
          <w:rFonts w:ascii="Arial" w:hAnsi="Arial"/>
          <w:sz w:val="24"/>
          <w:szCs w:val="24"/>
        </w:rPr>
        <w:t xml:space="preserve"> du décret n°2016-360 du 25 mars 2016</w:t>
      </w:r>
    </w:p>
    <w:p w:rsidR="0027384B" w:rsidRDefault="0027384B" w:rsidP="008F2D65">
      <w:pPr>
        <w:jc w:val="both"/>
        <w:rPr>
          <w:rFonts w:ascii="Arial" w:hAnsi="Arial"/>
          <w:sz w:val="24"/>
          <w:szCs w:val="24"/>
        </w:rPr>
      </w:pPr>
    </w:p>
    <w:p w:rsidR="0027384B" w:rsidRDefault="0027384B" w:rsidP="008F2D65">
      <w:pPr>
        <w:jc w:val="both"/>
        <w:rPr>
          <w:rFonts w:ascii="Arial" w:hAnsi="Arial"/>
          <w:sz w:val="24"/>
          <w:szCs w:val="24"/>
        </w:rPr>
      </w:pPr>
    </w:p>
    <w:p w:rsidR="0027384B" w:rsidRPr="00073468" w:rsidRDefault="0027384B" w:rsidP="008F2D65">
      <w:pPr>
        <w:jc w:val="both"/>
        <w:rPr>
          <w:rFonts w:ascii="Arial" w:hAnsi="Arial"/>
          <w:sz w:val="24"/>
          <w:szCs w:val="24"/>
        </w:rPr>
      </w:pPr>
      <w:r>
        <w:rPr>
          <w:rFonts w:ascii="Arial" w:hAnsi="Arial"/>
          <w:sz w:val="24"/>
          <w:szCs w:val="24"/>
        </w:rPr>
        <w:t xml:space="preserve">Date limite de réception des offres : </w:t>
      </w:r>
      <w:r w:rsidR="00073468">
        <w:rPr>
          <w:rFonts w:ascii="Arial" w:hAnsi="Arial"/>
          <w:sz w:val="24"/>
          <w:szCs w:val="24"/>
        </w:rPr>
        <w:t>Le 15 mars 2019 à 12H00</w:t>
      </w:r>
    </w:p>
    <w:p w:rsidR="00F64C85" w:rsidRDefault="00F64C85"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6E5132">
      <w:pPr>
        <w:ind w:right="-567" w:firstLine="708"/>
        <w:jc w:val="center"/>
        <w:rPr>
          <w:rFonts w:ascii="Tahoma" w:hAnsi="Tahoma" w:cs="Tahoma"/>
          <w:sz w:val="36"/>
          <w:szCs w:val="36"/>
        </w:rPr>
      </w:pPr>
    </w:p>
    <w:p w:rsidR="00240153" w:rsidRDefault="00240153" w:rsidP="00240153">
      <w:pPr>
        <w:rPr>
          <w:rFonts w:ascii="Tahoma" w:hAnsi="Tahoma" w:cs="Tahoma"/>
          <w:sz w:val="36"/>
          <w:szCs w:val="36"/>
        </w:rPr>
      </w:pPr>
    </w:p>
    <w:p w:rsidR="00902C4E" w:rsidRDefault="00902C4E" w:rsidP="00240153">
      <w:pPr>
        <w:rPr>
          <w:rFonts w:ascii="Tahoma" w:hAnsi="Tahoma" w:cs="Tahoma"/>
          <w:sz w:val="24"/>
          <w:szCs w:val="24"/>
        </w:rPr>
      </w:pPr>
    </w:p>
    <w:p w:rsidR="00240153" w:rsidRPr="002E148A" w:rsidRDefault="00240153" w:rsidP="00240153">
      <w:pPr>
        <w:rPr>
          <w:rFonts w:ascii="Tahoma" w:hAnsi="Tahoma" w:cs="Tahoma"/>
          <w:sz w:val="24"/>
          <w:szCs w:val="24"/>
          <w:u w:val="single"/>
        </w:rPr>
      </w:pPr>
      <w:r w:rsidRPr="002E148A">
        <w:rPr>
          <w:rFonts w:ascii="Tahoma" w:hAnsi="Tahoma" w:cs="Tahoma"/>
          <w:sz w:val="24"/>
          <w:szCs w:val="24"/>
          <w:u w:val="single"/>
        </w:rPr>
        <w:t xml:space="preserve">Article 1 : </w:t>
      </w:r>
      <w:r w:rsidR="0027384B">
        <w:rPr>
          <w:rFonts w:ascii="Tahoma" w:hAnsi="Tahoma" w:cs="Tahoma"/>
          <w:sz w:val="24"/>
          <w:szCs w:val="24"/>
          <w:u w:val="single"/>
        </w:rPr>
        <w:t>identification de la personne publique</w:t>
      </w:r>
    </w:p>
    <w:p w:rsidR="00240153" w:rsidRDefault="00240153" w:rsidP="00240153">
      <w:pPr>
        <w:rPr>
          <w:rFonts w:ascii="Tahoma" w:hAnsi="Tahoma" w:cs="Tahoma"/>
          <w:sz w:val="24"/>
          <w:szCs w:val="24"/>
        </w:rPr>
      </w:pPr>
    </w:p>
    <w:p w:rsidR="00A33689" w:rsidRDefault="0027384B" w:rsidP="00A33689">
      <w:pPr>
        <w:ind w:right="-567"/>
        <w:jc w:val="both"/>
        <w:rPr>
          <w:rFonts w:ascii="Tahoma" w:hAnsi="Tahoma" w:cs="Tahoma"/>
          <w:sz w:val="24"/>
          <w:szCs w:val="24"/>
        </w:rPr>
      </w:pPr>
      <w:r>
        <w:rPr>
          <w:rFonts w:ascii="Tahoma" w:hAnsi="Tahoma" w:cs="Tahoma"/>
          <w:sz w:val="24"/>
          <w:szCs w:val="24"/>
        </w:rPr>
        <w:t>Mairie de Cerbère</w:t>
      </w:r>
    </w:p>
    <w:p w:rsidR="0027384B" w:rsidRDefault="0027384B" w:rsidP="00A33689">
      <w:pPr>
        <w:ind w:right="-567"/>
        <w:jc w:val="both"/>
        <w:rPr>
          <w:rFonts w:ascii="Tahoma" w:hAnsi="Tahoma" w:cs="Tahoma"/>
          <w:sz w:val="24"/>
          <w:szCs w:val="24"/>
        </w:rPr>
      </w:pPr>
      <w:r>
        <w:rPr>
          <w:rFonts w:ascii="Tahoma" w:hAnsi="Tahoma" w:cs="Tahoma"/>
          <w:sz w:val="24"/>
          <w:szCs w:val="24"/>
        </w:rPr>
        <w:t>23 avenue du Général de Gaulle</w:t>
      </w:r>
    </w:p>
    <w:p w:rsidR="0027384B" w:rsidRDefault="0027384B" w:rsidP="00A33689">
      <w:pPr>
        <w:ind w:right="-567"/>
        <w:jc w:val="both"/>
        <w:rPr>
          <w:rFonts w:ascii="Tahoma" w:hAnsi="Tahoma" w:cs="Tahoma"/>
          <w:sz w:val="24"/>
          <w:szCs w:val="24"/>
        </w:rPr>
      </w:pPr>
      <w:r>
        <w:rPr>
          <w:rFonts w:ascii="Tahoma" w:hAnsi="Tahoma" w:cs="Tahoma"/>
          <w:sz w:val="24"/>
          <w:szCs w:val="24"/>
        </w:rPr>
        <w:t>66 290 Cerbère</w:t>
      </w:r>
    </w:p>
    <w:p w:rsidR="0027384B" w:rsidRDefault="0027384B" w:rsidP="00A33689">
      <w:pPr>
        <w:ind w:right="-567"/>
        <w:jc w:val="both"/>
        <w:rPr>
          <w:rFonts w:ascii="Tahoma" w:hAnsi="Tahoma" w:cs="Tahoma"/>
          <w:sz w:val="24"/>
          <w:szCs w:val="24"/>
        </w:rPr>
      </w:pPr>
      <w:r>
        <w:rPr>
          <w:rFonts w:ascii="Tahoma" w:hAnsi="Tahoma" w:cs="Tahoma"/>
          <w:sz w:val="24"/>
          <w:szCs w:val="24"/>
        </w:rPr>
        <w:t>Tél 04.68.88.41.85</w:t>
      </w:r>
    </w:p>
    <w:p w:rsidR="0027384B" w:rsidRDefault="0027384B" w:rsidP="00A33689">
      <w:pPr>
        <w:ind w:right="-567"/>
        <w:jc w:val="both"/>
        <w:rPr>
          <w:rFonts w:ascii="Tahoma" w:hAnsi="Tahoma" w:cs="Tahoma"/>
          <w:sz w:val="24"/>
          <w:szCs w:val="24"/>
        </w:rPr>
      </w:pPr>
      <w:r>
        <w:rPr>
          <w:rFonts w:ascii="Tahoma" w:hAnsi="Tahoma" w:cs="Tahoma"/>
          <w:sz w:val="24"/>
          <w:szCs w:val="24"/>
        </w:rPr>
        <w:t>Fax 04.68.88.47.64</w:t>
      </w:r>
    </w:p>
    <w:p w:rsidR="00B97DE3" w:rsidRDefault="00B97DE3" w:rsidP="00A33689">
      <w:pPr>
        <w:ind w:right="-567"/>
        <w:jc w:val="both"/>
        <w:rPr>
          <w:rFonts w:ascii="Tahoma" w:hAnsi="Tahoma" w:cs="Tahoma"/>
          <w:sz w:val="24"/>
          <w:szCs w:val="24"/>
        </w:rPr>
      </w:pPr>
    </w:p>
    <w:p w:rsidR="00B97DE3" w:rsidRPr="002E148A" w:rsidRDefault="00B97DE3" w:rsidP="00A33689">
      <w:pPr>
        <w:ind w:right="-567"/>
        <w:jc w:val="both"/>
        <w:rPr>
          <w:rFonts w:ascii="Tahoma" w:hAnsi="Tahoma" w:cs="Tahoma"/>
          <w:sz w:val="24"/>
          <w:szCs w:val="24"/>
          <w:u w:val="single"/>
        </w:rPr>
      </w:pPr>
      <w:r w:rsidRPr="002E148A">
        <w:rPr>
          <w:rFonts w:ascii="Tahoma" w:hAnsi="Tahoma" w:cs="Tahoma"/>
          <w:sz w:val="24"/>
          <w:szCs w:val="24"/>
          <w:u w:val="single"/>
        </w:rPr>
        <w:t xml:space="preserve">Article 2 : </w:t>
      </w:r>
      <w:r w:rsidR="0027384B">
        <w:rPr>
          <w:rFonts w:ascii="Tahoma" w:hAnsi="Tahoma" w:cs="Tahoma"/>
          <w:sz w:val="24"/>
          <w:szCs w:val="24"/>
          <w:u w:val="single"/>
        </w:rPr>
        <w:t>mode de passation</w:t>
      </w:r>
    </w:p>
    <w:p w:rsidR="00B97DE3" w:rsidRDefault="00B97DE3" w:rsidP="00A33689">
      <w:pPr>
        <w:ind w:right="-567"/>
        <w:jc w:val="both"/>
        <w:rPr>
          <w:rFonts w:ascii="Tahoma" w:hAnsi="Tahoma" w:cs="Tahoma"/>
          <w:sz w:val="24"/>
          <w:szCs w:val="24"/>
        </w:rPr>
      </w:pPr>
    </w:p>
    <w:p w:rsidR="008D43BC" w:rsidRDefault="00F203FF" w:rsidP="00A33689">
      <w:pPr>
        <w:ind w:right="-567"/>
        <w:jc w:val="both"/>
        <w:rPr>
          <w:rFonts w:ascii="Tahoma" w:hAnsi="Tahoma" w:cs="Tahoma"/>
          <w:sz w:val="24"/>
          <w:szCs w:val="24"/>
        </w:rPr>
      </w:pPr>
      <w:r>
        <w:rPr>
          <w:rFonts w:ascii="Tahoma" w:hAnsi="Tahoma" w:cs="Tahoma"/>
          <w:sz w:val="24"/>
          <w:szCs w:val="24"/>
        </w:rPr>
        <w:t>La présente consultation est un marché à procédure adaptée passé en application de l’article 27 du décret n°2016-360 du 25 mars 2016 relatif aux marchés publics.</w:t>
      </w:r>
    </w:p>
    <w:p w:rsidR="008D43BC" w:rsidRDefault="008D43BC" w:rsidP="00A33689">
      <w:pPr>
        <w:ind w:right="-567"/>
        <w:jc w:val="both"/>
        <w:rPr>
          <w:rFonts w:ascii="Tahoma" w:hAnsi="Tahoma" w:cs="Tahoma"/>
          <w:sz w:val="24"/>
          <w:szCs w:val="24"/>
        </w:rPr>
      </w:pPr>
    </w:p>
    <w:p w:rsidR="00091D8E" w:rsidRDefault="002E148A" w:rsidP="00A33689">
      <w:pPr>
        <w:ind w:right="-567"/>
        <w:jc w:val="both"/>
        <w:rPr>
          <w:rFonts w:ascii="Tahoma" w:hAnsi="Tahoma" w:cs="Tahoma"/>
          <w:sz w:val="24"/>
          <w:szCs w:val="24"/>
          <w:u w:val="single"/>
        </w:rPr>
      </w:pPr>
      <w:r w:rsidRPr="002E148A">
        <w:rPr>
          <w:rFonts w:ascii="Tahoma" w:hAnsi="Tahoma" w:cs="Tahoma"/>
          <w:sz w:val="24"/>
          <w:szCs w:val="24"/>
          <w:u w:val="single"/>
        </w:rPr>
        <w:t>Article 3</w:t>
      </w:r>
      <w:r w:rsidR="004B362B">
        <w:rPr>
          <w:rFonts w:ascii="Tahoma" w:hAnsi="Tahoma" w:cs="Tahoma"/>
          <w:sz w:val="24"/>
          <w:szCs w:val="24"/>
          <w:u w:val="single"/>
        </w:rPr>
        <w:t> :</w:t>
      </w:r>
      <w:r w:rsidRPr="002E148A">
        <w:rPr>
          <w:rFonts w:ascii="Tahoma" w:hAnsi="Tahoma" w:cs="Tahoma"/>
          <w:sz w:val="24"/>
          <w:szCs w:val="24"/>
          <w:u w:val="single"/>
        </w:rPr>
        <w:t xml:space="preserve"> </w:t>
      </w:r>
      <w:r w:rsidR="00F203FF">
        <w:rPr>
          <w:rFonts w:ascii="Tahoma" w:hAnsi="Tahoma" w:cs="Tahoma"/>
          <w:sz w:val="24"/>
          <w:szCs w:val="24"/>
          <w:u w:val="single"/>
        </w:rPr>
        <w:t>Forme du marché</w:t>
      </w:r>
    </w:p>
    <w:p w:rsidR="002E148A" w:rsidRDefault="002E148A" w:rsidP="00A33689">
      <w:pPr>
        <w:ind w:right="-567"/>
        <w:jc w:val="both"/>
        <w:rPr>
          <w:rFonts w:ascii="Tahoma" w:hAnsi="Tahoma" w:cs="Tahoma"/>
          <w:sz w:val="24"/>
          <w:szCs w:val="24"/>
          <w:u w:val="single"/>
        </w:rPr>
      </w:pPr>
    </w:p>
    <w:p w:rsidR="009E38C0" w:rsidRDefault="00F203FF" w:rsidP="008D43BC">
      <w:pPr>
        <w:ind w:right="-567"/>
        <w:jc w:val="both"/>
        <w:rPr>
          <w:rFonts w:ascii="Tahoma" w:hAnsi="Tahoma" w:cs="Tahoma"/>
          <w:sz w:val="24"/>
          <w:szCs w:val="24"/>
        </w:rPr>
      </w:pPr>
      <w:r>
        <w:rPr>
          <w:rFonts w:ascii="Tahoma" w:hAnsi="Tahoma" w:cs="Tahoma"/>
          <w:sz w:val="24"/>
          <w:szCs w:val="24"/>
        </w:rPr>
        <w:t xml:space="preserve">Le présent marché est un marché </w:t>
      </w:r>
      <w:r w:rsidR="00995898">
        <w:rPr>
          <w:rFonts w:ascii="Tahoma" w:hAnsi="Tahoma" w:cs="Tahoma"/>
          <w:sz w:val="24"/>
          <w:szCs w:val="24"/>
        </w:rPr>
        <w:t>de travaux</w:t>
      </w:r>
      <w:r>
        <w:rPr>
          <w:rFonts w:ascii="Tahoma" w:hAnsi="Tahoma" w:cs="Tahoma"/>
          <w:sz w:val="24"/>
          <w:szCs w:val="24"/>
        </w:rPr>
        <w:t>, ne faisant l’objet ni d’un allotissement, ni d’un découpage en tranche.</w:t>
      </w:r>
    </w:p>
    <w:p w:rsidR="00F203FF" w:rsidRDefault="00F203FF" w:rsidP="008D43BC">
      <w:pPr>
        <w:ind w:right="-567"/>
        <w:jc w:val="both"/>
        <w:rPr>
          <w:rFonts w:ascii="Tahoma" w:hAnsi="Tahoma" w:cs="Tahoma"/>
          <w:sz w:val="24"/>
          <w:szCs w:val="24"/>
        </w:rPr>
      </w:pPr>
    </w:p>
    <w:p w:rsidR="00995898" w:rsidRPr="00240153" w:rsidRDefault="00F203FF" w:rsidP="00995898">
      <w:pPr>
        <w:jc w:val="both"/>
        <w:rPr>
          <w:rFonts w:ascii="Arial" w:hAnsi="Arial"/>
          <w:sz w:val="24"/>
          <w:szCs w:val="24"/>
        </w:rPr>
      </w:pPr>
      <w:r>
        <w:rPr>
          <w:rFonts w:ascii="Tahoma" w:hAnsi="Tahoma" w:cs="Tahoma"/>
          <w:sz w:val="24"/>
          <w:szCs w:val="24"/>
        </w:rPr>
        <w:t xml:space="preserve">Date limite de transmission des offres : le </w:t>
      </w:r>
      <w:r w:rsidR="00995898">
        <w:rPr>
          <w:rFonts w:ascii="Arial" w:hAnsi="Arial"/>
          <w:sz w:val="24"/>
          <w:szCs w:val="24"/>
        </w:rPr>
        <w:t>15 mars 2019 12H00</w:t>
      </w:r>
    </w:p>
    <w:p w:rsidR="00995898" w:rsidRDefault="00995898" w:rsidP="00995898">
      <w:pPr>
        <w:ind w:right="-567" w:firstLine="708"/>
        <w:jc w:val="center"/>
        <w:rPr>
          <w:rFonts w:ascii="Tahoma" w:hAnsi="Tahoma" w:cs="Tahoma"/>
          <w:sz w:val="36"/>
          <w:szCs w:val="36"/>
        </w:rPr>
      </w:pPr>
    </w:p>
    <w:p w:rsidR="00B90F01" w:rsidRDefault="00B90F01" w:rsidP="00A33689">
      <w:pPr>
        <w:ind w:right="-567"/>
        <w:jc w:val="both"/>
        <w:rPr>
          <w:rFonts w:ascii="Tahoma" w:hAnsi="Tahoma" w:cs="Tahoma"/>
          <w:sz w:val="24"/>
          <w:szCs w:val="24"/>
        </w:rPr>
      </w:pPr>
    </w:p>
    <w:p w:rsidR="00B90F01" w:rsidRPr="009E38C0" w:rsidRDefault="00B90F01" w:rsidP="00A33689">
      <w:pPr>
        <w:ind w:right="-567"/>
        <w:jc w:val="both"/>
        <w:rPr>
          <w:rFonts w:ascii="Tahoma" w:hAnsi="Tahoma" w:cs="Tahoma"/>
          <w:sz w:val="24"/>
          <w:szCs w:val="24"/>
          <w:u w:val="single"/>
        </w:rPr>
      </w:pPr>
      <w:r w:rsidRPr="009E38C0">
        <w:rPr>
          <w:rFonts w:ascii="Tahoma" w:hAnsi="Tahoma" w:cs="Tahoma"/>
          <w:sz w:val="24"/>
          <w:szCs w:val="24"/>
          <w:u w:val="single"/>
        </w:rPr>
        <w:t>Article 4</w:t>
      </w:r>
      <w:r w:rsidR="004B362B">
        <w:rPr>
          <w:rFonts w:ascii="Tahoma" w:hAnsi="Tahoma" w:cs="Tahoma"/>
          <w:sz w:val="24"/>
          <w:szCs w:val="24"/>
          <w:u w:val="single"/>
        </w:rPr>
        <w:t xml:space="preserve"> : </w:t>
      </w:r>
      <w:r w:rsidR="00F203FF">
        <w:rPr>
          <w:rFonts w:ascii="Tahoma" w:hAnsi="Tahoma" w:cs="Tahoma"/>
          <w:sz w:val="24"/>
          <w:szCs w:val="24"/>
          <w:u w:val="single"/>
        </w:rPr>
        <w:t>objet du marché</w:t>
      </w:r>
    </w:p>
    <w:p w:rsidR="00B90F01" w:rsidRPr="009E38C0" w:rsidRDefault="00B90F01" w:rsidP="00A33689">
      <w:pPr>
        <w:ind w:right="-567"/>
        <w:jc w:val="both"/>
        <w:rPr>
          <w:rFonts w:ascii="Tahoma" w:hAnsi="Tahoma" w:cs="Tahoma"/>
          <w:sz w:val="24"/>
          <w:szCs w:val="24"/>
          <w:u w:val="single"/>
        </w:rPr>
      </w:pPr>
    </w:p>
    <w:p w:rsidR="00F203FF" w:rsidRDefault="00F203FF" w:rsidP="00F203FF">
      <w:pPr>
        <w:ind w:right="-567"/>
        <w:jc w:val="both"/>
        <w:rPr>
          <w:rFonts w:ascii="Tahoma" w:hAnsi="Tahoma" w:cs="Tahoma"/>
          <w:sz w:val="24"/>
          <w:szCs w:val="24"/>
        </w:rPr>
      </w:pPr>
      <w:r>
        <w:rPr>
          <w:rFonts w:ascii="Tahoma" w:hAnsi="Tahoma" w:cs="Tahoma"/>
          <w:sz w:val="24"/>
          <w:szCs w:val="24"/>
        </w:rPr>
        <w:t xml:space="preserve">Le présent marché a pour objet </w:t>
      </w:r>
      <w:r w:rsidR="00995898">
        <w:rPr>
          <w:rFonts w:ascii="Tahoma" w:hAnsi="Tahoma" w:cs="Tahoma"/>
          <w:sz w:val="24"/>
          <w:szCs w:val="24"/>
        </w:rPr>
        <w:t>l’exécution de travaux nécessaires au remplacement de mâts et de lanternes du réseau de l’éclairage public vétustes endommagés sur le front de mer de la commune de Cerbère ainsi que les travaux de reprise des réseaux d’éclairage public.</w:t>
      </w:r>
    </w:p>
    <w:p w:rsidR="00F203FF" w:rsidRDefault="00F203FF" w:rsidP="00F203FF">
      <w:pPr>
        <w:ind w:right="-567"/>
        <w:jc w:val="both"/>
        <w:rPr>
          <w:rFonts w:ascii="Tahoma" w:hAnsi="Tahoma" w:cs="Tahoma"/>
          <w:sz w:val="24"/>
          <w:szCs w:val="24"/>
        </w:rPr>
      </w:pPr>
    </w:p>
    <w:p w:rsidR="008D43BC" w:rsidRDefault="008D43BC" w:rsidP="00A33689">
      <w:pPr>
        <w:ind w:right="-567"/>
        <w:jc w:val="both"/>
        <w:rPr>
          <w:rFonts w:ascii="Tahoma" w:hAnsi="Tahoma" w:cs="Tahoma"/>
          <w:sz w:val="24"/>
          <w:szCs w:val="24"/>
        </w:rPr>
      </w:pPr>
    </w:p>
    <w:p w:rsidR="009E38C0" w:rsidRDefault="009E38C0" w:rsidP="00A33689">
      <w:pPr>
        <w:ind w:right="-567"/>
        <w:jc w:val="both"/>
        <w:rPr>
          <w:rFonts w:ascii="Tahoma" w:hAnsi="Tahoma" w:cs="Tahoma"/>
          <w:sz w:val="24"/>
          <w:szCs w:val="24"/>
          <w:u w:val="single"/>
        </w:rPr>
      </w:pPr>
      <w:r w:rsidRPr="009E38C0">
        <w:rPr>
          <w:rFonts w:ascii="Tahoma" w:hAnsi="Tahoma" w:cs="Tahoma"/>
          <w:sz w:val="24"/>
          <w:szCs w:val="24"/>
          <w:u w:val="single"/>
        </w:rPr>
        <w:t xml:space="preserve">Article 5 – </w:t>
      </w:r>
      <w:r w:rsidR="00F203FF">
        <w:rPr>
          <w:rFonts w:ascii="Tahoma" w:hAnsi="Tahoma" w:cs="Tahoma"/>
          <w:sz w:val="24"/>
          <w:szCs w:val="24"/>
          <w:u w:val="single"/>
        </w:rPr>
        <w:t>Conditions de la consultation</w:t>
      </w:r>
    </w:p>
    <w:p w:rsidR="00F203FF" w:rsidRDefault="00F203FF" w:rsidP="00A33689">
      <w:pPr>
        <w:ind w:right="-567"/>
        <w:jc w:val="both"/>
        <w:rPr>
          <w:rFonts w:ascii="Tahoma" w:hAnsi="Tahoma" w:cs="Tahoma"/>
          <w:sz w:val="24"/>
          <w:szCs w:val="24"/>
          <w:u w:val="single"/>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.1 - Durée du marché - Délais d’exécution</w:t>
      </w:r>
    </w:p>
    <w:p w:rsidR="00995898" w:rsidRDefault="00995898" w:rsidP="00A33689">
      <w:pPr>
        <w:ind w:right="-567"/>
        <w:jc w:val="both"/>
        <w:rPr>
          <w:rFonts w:ascii="Tahoma" w:hAnsi="Tahoma" w:cs="Tahoma"/>
          <w:sz w:val="24"/>
          <w:szCs w:val="24"/>
        </w:rPr>
      </w:pPr>
    </w:p>
    <w:p w:rsidR="002566E1" w:rsidRDefault="00995898" w:rsidP="00A33689">
      <w:pPr>
        <w:ind w:right="-567"/>
        <w:jc w:val="both"/>
        <w:rPr>
          <w:rFonts w:ascii="Tahoma" w:hAnsi="Tahoma" w:cs="Tahoma"/>
          <w:sz w:val="24"/>
          <w:szCs w:val="24"/>
        </w:rPr>
      </w:pPr>
      <w:r>
        <w:rPr>
          <w:rFonts w:ascii="Tahoma" w:hAnsi="Tahoma" w:cs="Tahoma"/>
          <w:sz w:val="24"/>
          <w:szCs w:val="24"/>
        </w:rPr>
        <w:t xml:space="preserve">La durée du marché est </w:t>
      </w:r>
      <w:r w:rsidR="004B362B">
        <w:rPr>
          <w:rFonts w:ascii="Tahoma" w:hAnsi="Tahoma" w:cs="Tahoma"/>
          <w:sz w:val="24"/>
          <w:szCs w:val="24"/>
        </w:rPr>
        <w:t>fixée</w:t>
      </w:r>
      <w:r>
        <w:rPr>
          <w:rFonts w:ascii="Tahoma" w:hAnsi="Tahoma" w:cs="Tahoma"/>
          <w:sz w:val="24"/>
          <w:szCs w:val="24"/>
        </w:rPr>
        <w:t xml:space="preserve"> par chaque candidat dans l’acte d’engagement. Ce délai ne pourra excéder 4 semaines. En annexe de l’acte d’engagement sera joint le planning détaillé d’intervention </w:t>
      </w:r>
    </w:p>
    <w:p w:rsidR="00483F31" w:rsidRDefault="00483F31" w:rsidP="00A33689">
      <w:pPr>
        <w:ind w:right="-567"/>
        <w:jc w:val="both"/>
        <w:rPr>
          <w:rFonts w:ascii="Tahoma" w:hAnsi="Tahoma" w:cs="Tahoma"/>
          <w:sz w:val="24"/>
          <w:szCs w:val="24"/>
        </w:rPr>
      </w:pPr>
    </w:p>
    <w:p w:rsidR="00483F31" w:rsidRPr="00483F31" w:rsidRDefault="00483F31" w:rsidP="00A33689">
      <w:pPr>
        <w:ind w:right="-567"/>
        <w:jc w:val="both"/>
        <w:rPr>
          <w:rFonts w:ascii="Tahoma" w:hAnsi="Tahoma" w:cs="Tahoma"/>
          <w:b/>
          <w:sz w:val="24"/>
          <w:szCs w:val="24"/>
          <w:u w:val="single"/>
        </w:rPr>
      </w:pPr>
      <w:bookmarkStart w:id="2" w:name="_Hlk873728"/>
      <w:r w:rsidRPr="00483F31">
        <w:rPr>
          <w:rFonts w:ascii="Tahoma" w:hAnsi="Tahoma" w:cs="Tahoma"/>
          <w:b/>
          <w:sz w:val="24"/>
          <w:szCs w:val="24"/>
          <w:u w:val="single"/>
        </w:rPr>
        <w:t>Les travaux devront impérativement être achevés au plus tard le 30 juin 2019</w:t>
      </w:r>
    </w:p>
    <w:bookmarkEnd w:id="2"/>
    <w:p w:rsidR="002566E1" w:rsidRPr="002566E1" w:rsidRDefault="002566E1" w:rsidP="00A33689">
      <w:pPr>
        <w:ind w:right="-567"/>
        <w:jc w:val="both"/>
        <w:rPr>
          <w:rFonts w:ascii="Tahoma" w:hAnsi="Tahoma" w:cs="Tahoma"/>
          <w:sz w:val="24"/>
          <w:szCs w:val="24"/>
        </w:rPr>
      </w:pPr>
    </w:p>
    <w:p w:rsidR="002566E1" w:rsidRPr="002566E1"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.2 - Délai de validité des offres</w:t>
      </w:r>
    </w:p>
    <w:p w:rsidR="002566E1" w:rsidRDefault="00F203FF" w:rsidP="00A33689">
      <w:pPr>
        <w:ind w:right="-567"/>
        <w:jc w:val="both"/>
        <w:rPr>
          <w:rFonts w:ascii="Tahoma" w:hAnsi="Tahoma" w:cs="Tahoma"/>
          <w:sz w:val="24"/>
          <w:szCs w:val="24"/>
        </w:rPr>
      </w:pPr>
      <w:r w:rsidRPr="002566E1">
        <w:rPr>
          <w:rFonts w:ascii="Tahoma" w:hAnsi="Tahoma" w:cs="Tahoma"/>
          <w:sz w:val="24"/>
          <w:szCs w:val="24"/>
        </w:rPr>
        <w:t xml:space="preserve"> Le délai de validité des offres est fixé à </w:t>
      </w:r>
      <w:r w:rsidR="00995898">
        <w:rPr>
          <w:rFonts w:ascii="Tahoma" w:hAnsi="Tahoma" w:cs="Tahoma"/>
          <w:sz w:val="24"/>
          <w:szCs w:val="24"/>
        </w:rPr>
        <w:t>90</w:t>
      </w:r>
      <w:r w:rsidRPr="002566E1">
        <w:rPr>
          <w:rFonts w:ascii="Tahoma" w:hAnsi="Tahoma" w:cs="Tahoma"/>
          <w:sz w:val="24"/>
          <w:szCs w:val="24"/>
        </w:rPr>
        <w:t xml:space="preserve"> jours à compter de la date limite de réception des offres.</w:t>
      </w:r>
    </w:p>
    <w:p w:rsidR="00995898" w:rsidRDefault="00995898" w:rsidP="00A33689">
      <w:pPr>
        <w:ind w:right="-567"/>
        <w:jc w:val="both"/>
        <w:rPr>
          <w:rFonts w:ascii="Tahoma" w:hAnsi="Tahoma" w:cs="Tahoma"/>
          <w:sz w:val="24"/>
          <w:szCs w:val="24"/>
        </w:rPr>
      </w:pPr>
    </w:p>
    <w:p w:rsidR="004B362B" w:rsidRDefault="00995898" w:rsidP="00A33689">
      <w:pPr>
        <w:ind w:right="-567"/>
        <w:jc w:val="both"/>
        <w:rPr>
          <w:rFonts w:ascii="Tahoma" w:hAnsi="Tahoma" w:cs="Tahoma"/>
          <w:sz w:val="24"/>
          <w:szCs w:val="24"/>
        </w:rPr>
      </w:pPr>
      <w:r w:rsidRPr="00995898">
        <w:rPr>
          <w:rFonts w:ascii="Tahoma" w:hAnsi="Tahoma" w:cs="Tahoma"/>
          <w:sz w:val="24"/>
          <w:szCs w:val="24"/>
        </w:rPr>
        <w:lastRenderedPageBreak/>
        <w:t xml:space="preserve">5.3 – Visite des lieux préalablement à la remise de </w:t>
      </w:r>
      <w:proofErr w:type="gramStart"/>
      <w:r w:rsidRPr="00995898">
        <w:rPr>
          <w:rFonts w:ascii="Tahoma" w:hAnsi="Tahoma" w:cs="Tahoma"/>
          <w:sz w:val="24"/>
          <w:szCs w:val="24"/>
        </w:rPr>
        <w:t xml:space="preserve">l’offre </w:t>
      </w:r>
      <w:r w:rsidR="004B362B">
        <w:rPr>
          <w:rFonts w:ascii="Tahoma" w:hAnsi="Tahoma" w:cs="Tahoma"/>
          <w:sz w:val="24"/>
          <w:szCs w:val="24"/>
        </w:rPr>
        <w:t>.</w:t>
      </w:r>
      <w:proofErr w:type="gramEnd"/>
    </w:p>
    <w:p w:rsidR="004B362B" w:rsidRDefault="004B362B" w:rsidP="00A33689">
      <w:pPr>
        <w:ind w:right="-567"/>
        <w:jc w:val="both"/>
        <w:rPr>
          <w:rFonts w:ascii="Tahoma" w:hAnsi="Tahoma" w:cs="Tahoma"/>
          <w:sz w:val="24"/>
          <w:szCs w:val="24"/>
        </w:rPr>
      </w:pPr>
    </w:p>
    <w:p w:rsidR="002566E1" w:rsidRDefault="00995898" w:rsidP="00A33689">
      <w:pPr>
        <w:ind w:right="-567"/>
        <w:jc w:val="both"/>
        <w:rPr>
          <w:rFonts w:ascii="Tahoma" w:hAnsi="Tahoma" w:cs="Tahoma"/>
          <w:sz w:val="24"/>
          <w:szCs w:val="24"/>
        </w:rPr>
      </w:pPr>
      <w:r w:rsidRPr="00995898">
        <w:rPr>
          <w:rFonts w:ascii="Tahoma" w:hAnsi="Tahoma" w:cs="Tahoma"/>
          <w:sz w:val="24"/>
          <w:szCs w:val="24"/>
        </w:rPr>
        <w:t xml:space="preserve">Une visite des lieux </w:t>
      </w:r>
      <w:r w:rsidR="00586CA2">
        <w:rPr>
          <w:rFonts w:ascii="Tahoma" w:hAnsi="Tahoma" w:cs="Tahoma"/>
          <w:sz w:val="24"/>
          <w:szCs w:val="24"/>
        </w:rPr>
        <w:t xml:space="preserve">aura lieu le </w:t>
      </w:r>
      <w:r w:rsidR="009B562E">
        <w:rPr>
          <w:rFonts w:ascii="Tahoma" w:hAnsi="Tahoma" w:cs="Tahoma"/>
          <w:sz w:val="24"/>
          <w:szCs w:val="24"/>
        </w:rPr>
        <w:t>8 mars 2019</w:t>
      </w:r>
      <w:r w:rsidR="00586CA2">
        <w:rPr>
          <w:rFonts w:ascii="Tahoma" w:hAnsi="Tahoma" w:cs="Tahoma"/>
          <w:sz w:val="24"/>
          <w:szCs w:val="24"/>
        </w:rPr>
        <w:t xml:space="preserve"> à</w:t>
      </w:r>
      <w:r w:rsidR="009B562E">
        <w:rPr>
          <w:rFonts w:ascii="Tahoma" w:hAnsi="Tahoma" w:cs="Tahoma"/>
          <w:sz w:val="24"/>
          <w:szCs w:val="24"/>
        </w:rPr>
        <w:t>10H00.</w:t>
      </w:r>
    </w:p>
    <w:p w:rsidR="009B562E" w:rsidRDefault="009B562E" w:rsidP="00A33689">
      <w:pPr>
        <w:ind w:right="-567"/>
        <w:jc w:val="both"/>
        <w:rPr>
          <w:rFonts w:ascii="Tahoma" w:hAnsi="Tahoma" w:cs="Tahoma"/>
          <w:sz w:val="24"/>
          <w:szCs w:val="24"/>
        </w:rPr>
      </w:pPr>
    </w:p>
    <w:p w:rsidR="00586CA2" w:rsidRDefault="00586CA2" w:rsidP="00A33689">
      <w:pPr>
        <w:ind w:right="-567"/>
        <w:jc w:val="both"/>
        <w:rPr>
          <w:rFonts w:ascii="Tahoma" w:hAnsi="Tahoma" w:cs="Tahoma"/>
          <w:sz w:val="24"/>
          <w:szCs w:val="24"/>
        </w:rPr>
      </w:pPr>
      <w:bookmarkStart w:id="3" w:name="_GoBack"/>
      <w:r w:rsidRPr="009B562E">
        <w:rPr>
          <w:rFonts w:ascii="Tahoma" w:hAnsi="Tahoma" w:cs="Tahoma"/>
          <w:b/>
          <w:sz w:val="24"/>
          <w:szCs w:val="24"/>
        </w:rPr>
        <w:t>Cette visite est obligatoire</w:t>
      </w:r>
      <w:bookmarkEnd w:id="3"/>
      <w:r>
        <w:rPr>
          <w:rFonts w:ascii="Tahoma" w:hAnsi="Tahoma" w:cs="Tahoma"/>
          <w:sz w:val="24"/>
          <w:szCs w:val="24"/>
        </w:rPr>
        <w:t>. Il sera remis aux candidats présents une attestation de visite. Les candidats qui n’auraient pas effectu</w:t>
      </w:r>
      <w:r w:rsidR="004B362B">
        <w:rPr>
          <w:rFonts w:ascii="Tahoma" w:hAnsi="Tahoma" w:cs="Tahoma"/>
          <w:sz w:val="24"/>
          <w:szCs w:val="24"/>
        </w:rPr>
        <w:t>é</w:t>
      </w:r>
      <w:r>
        <w:rPr>
          <w:rFonts w:ascii="Tahoma" w:hAnsi="Tahoma" w:cs="Tahoma"/>
          <w:sz w:val="24"/>
          <w:szCs w:val="24"/>
        </w:rPr>
        <w:t xml:space="preserve"> cette visite ne seront pas admis à concourir.</w:t>
      </w:r>
    </w:p>
    <w:p w:rsidR="00586CA2" w:rsidRPr="002566E1" w:rsidRDefault="00586CA2" w:rsidP="00A33689">
      <w:pPr>
        <w:ind w:right="-567"/>
        <w:jc w:val="both"/>
        <w:rPr>
          <w:rFonts w:ascii="Tahoma" w:hAnsi="Tahoma" w:cs="Tahoma"/>
          <w:sz w:val="24"/>
          <w:szCs w:val="24"/>
        </w:rPr>
      </w:pPr>
    </w:p>
    <w:p w:rsidR="000E01AD" w:rsidRDefault="002566E1" w:rsidP="00A33689">
      <w:pPr>
        <w:ind w:right="-567"/>
        <w:jc w:val="both"/>
        <w:rPr>
          <w:rFonts w:ascii="Tahoma" w:hAnsi="Tahoma" w:cs="Tahoma"/>
          <w:sz w:val="24"/>
          <w:szCs w:val="24"/>
        </w:rPr>
      </w:pPr>
      <w:r>
        <w:rPr>
          <w:rFonts w:ascii="Tahoma" w:hAnsi="Tahoma" w:cs="Tahoma"/>
          <w:sz w:val="24"/>
          <w:szCs w:val="24"/>
        </w:rPr>
        <w:t>5</w:t>
      </w:r>
      <w:r w:rsidR="00F203FF" w:rsidRPr="002566E1">
        <w:rPr>
          <w:rFonts w:ascii="Tahoma" w:hAnsi="Tahoma" w:cs="Tahoma"/>
          <w:sz w:val="24"/>
          <w:szCs w:val="24"/>
        </w:rPr>
        <w:t>.</w:t>
      </w:r>
      <w:r w:rsidR="00586CA2">
        <w:rPr>
          <w:rFonts w:ascii="Tahoma" w:hAnsi="Tahoma" w:cs="Tahoma"/>
          <w:sz w:val="24"/>
          <w:szCs w:val="24"/>
        </w:rPr>
        <w:t>4</w:t>
      </w:r>
      <w:r w:rsidR="00F203FF" w:rsidRPr="002566E1">
        <w:rPr>
          <w:rFonts w:ascii="Tahoma" w:hAnsi="Tahoma" w:cs="Tahoma"/>
          <w:sz w:val="24"/>
          <w:szCs w:val="24"/>
        </w:rPr>
        <w:t xml:space="preserve"> - Mode de règlement du marché et modalités de financement Les sommes dues au(x) titulaire(s) du marché, seront payées dans un délai global de 30 jours à compter de la date de réception des factures ou des demandes de paiement équivalentes.</w:t>
      </w:r>
    </w:p>
    <w:p w:rsidR="002566E1" w:rsidRDefault="002566E1" w:rsidP="00A33689">
      <w:pPr>
        <w:ind w:right="-567"/>
        <w:jc w:val="both"/>
        <w:rPr>
          <w:rFonts w:ascii="Tahoma" w:hAnsi="Tahoma" w:cs="Tahoma"/>
          <w:sz w:val="24"/>
          <w:szCs w:val="24"/>
          <w:u w:val="single"/>
        </w:rPr>
      </w:pPr>
    </w:p>
    <w:p w:rsidR="009918AE" w:rsidRDefault="000E01AD" w:rsidP="00A33689">
      <w:pPr>
        <w:ind w:right="-567"/>
        <w:jc w:val="both"/>
        <w:rPr>
          <w:rFonts w:ascii="Tahoma" w:hAnsi="Tahoma" w:cs="Tahoma"/>
          <w:sz w:val="24"/>
          <w:szCs w:val="24"/>
          <w:u w:val="single"/>
        </w:rPr>
      </w:pPr>
      <w:r w:rsidRPr="009918AE">
        <w:rPr>
          <w:rFonts w:ascii="Tahoma" w:hAnsi="Tahoma" w:cs="Tahoma"/>
          <w:sz w:val="24"/>
          <w:szCs w:val="24"/>
          <w:u w:val="single"/>
        </w:rPr>
        <w:t>Article</w:t>
      </w:r>
      <w:r w:rsidR="00D10336">
        <w:rPr>
          <w:rFonts w:ascii="Tahoma" w:hAnsi="Tahoma" w:cs="Tahoma"/>
          <w:sz w:val="24"/>
          <w:szCs w:val="24"/>
          <w:u w:val="single"/>
        </w:rPr>
        <w:t xml:space="preserve"> 6</w:t>
      </w:r>
      <w:r w:rsidRPr="009918AE">
        <w:rPr>
          <w:rFonts w:ascii="Tahoma" w:hAnsi="Tahoma" w:cs="Tahoma"/>
          <w:sz w:val="24"/>
          <w:szCs w:val="24"/>
          <w:u w:val="single"/>
        </w:rPr>
        <w:t> – </w:t>
      </w:r>
      <w:r w:rsidR="002566E1">
        <w:rPr>
          <w:rFonts w:ascii="Tahoma" w:hAnsi="Tahoma" w:cs="Tahoma"/>
          <w:sz w:val="24"/>
          <w:szCs w:val="24"/>
          <w:u w:val="single"/>
        </w:rPr>
        <w:t>Contenu du dossier de consultation</w:t>
      </w:r>
    </w:p>
    <w:p w:rsidR="00D10336" w:rsidRDefault="00D10336"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contient les pièces suivantes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L’acte d’engagement (A.E.) et ses annexes</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w:t>
      </w:r>
      <w:r w:rsidR="00995898">
        <w:rPr>
          <w:rFonts w:ascii="Tahoma" w:hAnsi="Tahoma" w:cs="Tahoma"/>
          <w:sz w:val="24"/>
          <w:szCs w:val="24"/>
        </w:rPr>
        <w:t>Le détail quantitatif estimatif.</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cahier des clauses</w:t>
      </w:r>
      <w:r>
        <w:rPr>
          <w:rFonts w:ascii="Tahoma" w:hAnsi="Tahoma" w:cs="Tahoma"/>
          <w:sz w:val="24"/>
          <w:szCs w:val="24"/>
        </w:rPr>
        <w:t xml:space="preserve"> administratives</w:t>
      </w:r>
      <w:r w:rsidRPr="002566E1">
        <w:rPr>
          <w:rFonts w:ascii="Tahoma" w:hAnsi="Tahoma" w:cs="Tahoma"/>
          <w:sz w:val="24"/>
          <w:szCs w:val="24"/>
        </w:rPr>
        <w:t xml:space="preserve"> </w:t>
      </w:r>
      <w:r>
        <w:rPr>
          <w:rFonts w:ascii="Tahoma" w:hAnsi="Tahoma" w:cs="Tahoma"/>
          <w:sz w:val="24"/>
          <w:szCs w:val="24"/>
        </w:rPr>
        <w:t>techniques</w:t>
      </w:r>
      <w:r w:rsidRPr="002566E1">
        <w:rPr>
          <w:rFonts w:ascii="Tahoma" w:hAnsi="Tahoma" w:cs="Tahoma"/>
          <w:sz w:val="24"/>
          <w:szCs w:val="24"/>
        </w:rPr>
        <w:t xml:space="preserve"> (C.C.</w:t>
      </w:r>
      <w:r>
        <w:rPr>
          <w:rFonts w:ascii="Tahoma" w:hAnsi="Tahoma" w:cs="Tahoma"/>
          <w:sz w:val="24"/>
          <w:szCs w:val="24"/>
        </w:rPr>
        <w:t>T.</w:t>
      </w:r>
      <w:r w:rsidRPr="002566E1">
        <w:rPr>
          <w:rFonts w:ascii="Tahoma" w:hAnsi="Tahoma" w:cs="Tahoma"/>
          <w:sz w:val="24"/>
          <w:szCs w:val="24"/>
        </w:rPr>
        <w:t xml:space="preserve">P.)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 (R.</w:t>
      </w:r>
      <w:r>
        <w:rPr>
          <w:rFonts w:ascii="Tahoma" w:hAnsi="Tahoma" w:cs="Tahoma"/>
          <w:sz w:val="24"/>
          <w:szCs w:val="24"/>
        </w:rPr>
        <w:t>D.</w:t>
      </w:r>
      <w:r w:rsidRPr="002566E1">
        <w:rPr>
          <w:rFonts w:ascii="Tahoma" w:hAnsi="Tahoma" w:cs="Tahoma"/>
          <w:sz w:val="24"/>
          <w:szCs w:val="24"/>
        </w:rPr>
        <w:t xml:space="preserve">C.) </w:t>
      </w:r>
    </w:p>
    <w:p w:rsidR="002566E1" w:rsidRDefault="002566E1" w:rsidP="00A33689">
      <w:pPr>
        <w:ind w:right="-567"/>
        <w:jc w:val="both"/>
        <w:rPr>
          <w:rFonts w:ascii="Tahoma" w:hAnsi="Tahoma" w:cs="Tahoma"/>
          <w:sz w:val="24"/>
          <w:szCs w:val="24"/>
        </w:rPr>
      </w:pPr>
    </w:p>
    <w:p w:rsidR="00A370DD" w:rsidRDefault="002566E1" w:rsidP="00A33689">
      <w:pPr>
        <w:ind w:right="-567"/>
        <w:jc w:val="both"/>
        <w:rPr>
          <w:rFonts w:ascii="Tahoma" w:hAnsi="Tahoma" w:cs="Tahoma"/>
          <w:sz w:val="24"/>
          <w:szCs w:val="24"/>
        </w:rPr>
      </w:pPr>
      <w:r w:rsidRPr="002566E1">
        <w:rPr>
          <w:rFonts w:ascii="Tahoma" w:hAnsi="Tahoma" w:cs="Tahoma"/>
          <w:sz w:val="24"/>
          <w:szCs w:val="24"/>
        </w:rPr>
        <w:t xml:space="preserve">Le dossier de consultation des entreprises est remis gratuitement à chaque candidat. Il est disponible à l’adresse électronique suivante : </w:t>
      </w:r>
      <w:hyperlink r:id="rId8" w:history="1">
        <w:r w:rsidRPr="00D01FC2">
          <w:rPr>
            <w:rStyle w:val="Lienhypertexte"/>
            <w:rFonts w:ascii="Tahoma" w:hAnsi="Tahoma" w:cs="Tahoma"/>
            <w:sz w:val="24"/>
            <w:szCs w:val="24"/>
          </w:rPr>
          <w:t>www.cerbere-village.com</w:t>
        </w:r>
      </w:hyperlink>
      <w:r>
        <w:rPr>
          <w:rFonts w:ascii="Tahoma" w:hAnsi="Tahoma" w:cs="Tahoma"/>
          <w:sz w:val="24"/>
          <w:szCs w:val="24"/>
        </w:rPr>
        <w:t xml:space="preserve"> ou sur le site </w:t>
      </w:r>
      <w:hyperlink r:id="rId9" w:history="1">
        <w:r w:rsidRPr="00D01FC2">
          <w:rPr>
            <w:rStyle w:val="Lienhypertexte"/>
            <w:rFonts w:ascii="Tahoma" w:hAnsi="Tahoma" w:cs="Tahoma"/>
            <w:sz w:val="24"/>
            <w:szCs w:val="24"/>
          </w:rPr>
          <w:t>http://www.klekoon.com</w:t>
        </w:r>
      </w:hyperlink>
    </w:p>
    <w:p w:rsidR="002566E1" w:rsidRDefault="002566E1" w:rsidP="00A33689">
      <w:pPr>
        <w:ind w:right="-567"/>
        <w:jc w:val="both"/>
        <w:rPr>
          <w:rFonts w:ascii="Tahoma" w:hAnsi="Tahoma" w:cs="Tahoma"/>
          <w:sz w:val="24"/>
          <w:szCs w:val="24"/>
          <w:u w:val="single"/>
        </w:rPr>
      </w:pPr>
    </w:p>
    <w:p w:rsidR="009918AE" w:rsidRPr="009918AE" w:rsidRDefault="009918AE" w:rsidP="00A33689">
      <w:pPr>
        <w:ind w:right="-567"/>
        <w:jc w:val="both"/>
        <w:rPr>
          <w:rFonts w:ascii="Tahoma" w:hAnsi="Tahoma" w:cs="Tahoma"/>
          <w:sz w:val="24"/>
          <w:szCs w:val="24"/>
          <w:u w:val="single"/>
        </w:rPr>
      </w:pPr>
      <w:r w:rsidRPr="009918AE">
        <w:rPr>
          <w:rFonts w:ascii="Tahoma" w:hAnsi="Tahoma" w:cs="Tahoma"/>
          <w:sz w:val="24"/>
          <w:szCs w:val="24"/>
          <w:u w:val="single"/>
        </w:rPr>
        <w:t xml:space="preserve">Article </w:t>
      </w:r>
      <w:r w:rsidR="00175E13">
        <w:rPr>
          <w:rFonts w:ascii="Tahoma" w:hAnsi="Tahoma" w:cs="Tahoma"/>
          <w:sz w:val="24"/>
          <w:szCs w:val="24"/>
          <w:u w:val="single"/>
        </w:rPr>
        <w:t>7</w:t>
      </w:r>
      <w:r w:rsidRPr="009918AE">
        <w:rPr>
          <w:rFonts w:ascii="Tahoma" w:hAnsi="Tahoma" w:cs="Tahoma"/>
          <w:sz w:val="24"/>
          <w:szCs w:val="24"/>
          <w:u w:val="single"/>
        </w:rPr>
        <w:t xml:space="preserve"> </w:t>
      </w:r>
      <w:r w:rsidR="002566E1">
        <w:rPr>
          <w:rFonts w:ascii="Tahoma" w:hAnsi="Tahoma" w:cs="Tahoma"/>
          <w:sz w:val="24"/>
          <w:szCs w:val="24"/>
          <w:u w:val="single"/>
        </w:rPr>
        <w:t>–</w:t>
      </w:r>
      <w:r w:rsidRPr="009918AE">
        <w:rPr>
          <w:rFonts w:ascii="Tahoma" w:hAnsi="Tahoma" w:cs="Tahoma"/>
          <w:sz w:val="24"/>
          <w:szCs w:val="24"/>
          <w:u w:val="single"/>
        </w:rPr>
        <w:t xml:space="preserve"> </w:t>
      </w:r>
      <w:r w:rsidR="002566E1">
        <w:rPr>
          <w:rFonts w:ascii="Tahoma" w:hAnsi="Tahoma" w:cs="Tahoma"/>
          <w:sz w:val="24"/>
          <w:szCs w:val="24"/>
          <w:u w:val="single"/>
        </w:rPr>
        <w:t>Présentation des candidatures et des offres</w:t>
      </w:r>
    </w:p>
    <w:p w:rsidR="009918AE" w:rsidRDefault="009918AE" w:rsidP="00A33689">
      <w:pPr>
        <w:ind w:right="-567"/>
        <w:jc w:val="both"/>
        <w:rPr>
          <w:rFonts w:ascii="Tahoma" w:hAnsi="Tahoma" w:cs="Tahoma"/>
          <w:sz w:val="24"/>
          <w:szCs w:val="24"/>
        </w:rPr>
      </w:pPr>
      <w:r>
        <w:t xml:space="preserv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offres des concurrents seront entièrement rédigées en langue française et exprimées en EURO.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Si les offres des concurrents sont rédigées dans une autre langue, elles doivent être accompagnées d’une traduction en français, certifiée</w:t>
      </w:r>
      <w:r w:rsidR="004B362B">
        <w:rPr>
          <w:rFonts w:ascii="Tahoma" w:hAnsi="Tahoma" w:cs="Tahoma"/>
          <w:sz w:val="24"/>
          <w:szCs w:val="24"/>
        </w:rPr>
        <w:t>s</w:t>
      </w:r>
      <w:r w:rsidRPr="002566E1">
        <w:rPr>
          <w:rFonts w:ascii="Tahoma" w:hAnsi="Tahoma" w:cs="Tahoma"/>
          <w:sz w:val="24"/>
          <w:szCs w:val="24"/>
        </w:rPr>
        <w:t xml:space="preserve"> conforme à l’original par un traducteur </w:t>
      </w:r>
      <w:proofErr w:type="gramStart"/>
      <w:r w:rsidRPr="002566E1">
        <w:rPr>
          <w:rFonts w:ascii="Tahoma" w:hAnsi="Tahoma" w:cs="Tahoma"/>
          <w:sz w:val="24"/>
          <w:szCs w:val="24"/>
        </w:rPr>
        <w:t>assermenté;</w:t>
      </w:r>
      <w:proofErr w:type="gramEnd"/>
      <w:r w:rsidRPr="002566E1">
        <w:rPr>
          <w:rFonts w:ascii="Tahoma" w:hAnsi="Tahoma" w:cs="Tahoma"/>
          <w:sz w:val="24"/>
          <w:szCs w:val="24"/>
        </w:rPr>
        <w:t xml:space="preserve"> cette traduction doit concerner l’ensemble des documents remis dans l’offre.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Documents à produire</w:t>
      </w:r>
      <w:r w:rsidR="00DC3C10">
        <w:rPr>
          <w:rFonts w:ascii="Tahoma" w:hAnsi="Tahoma" w:cs="Tahoma"/>
          <w:sz w:val="24"/>
          <w:szCs w:val="24"/>
        </w:rPr>
        <w:t> : c</w:t>
      </w:r>
      <w:r w:rsidRPr="002566E1">
        <w:rPr>
          <w:rFonts w:ascii="Tahoma" w:hAnsi="Tahoma" w:cs="Tahoma"/>
          <w:sz w:val="24"/>
          <w:szCs w:val="24"/>
        </w:rPr>
        <w:t xml:space="preserve">haque candidat aura à produire un dossier complet comprenant les pièces suivantes, datées et signées par lui :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Pr>
          <w:rFonts w:ascii="Tahoma" w:hAnsi="Tahoma" w:cs="Tahoma"/>
          <w:sz w:val="24"/>
          <w:szCs w:val="24"/>
        </w:rPr>
        <w:t>-</w:t>
      </w:r>
      <w:r w:rsidRPr="002566E1">
        <w:rPr>
          <w:rFonts w:ascii="Tahoma" w:hAnsi="Tahoma" w:cs="Tahoma"/>
          <w:sz w:val="24"/>
          <w:szCs w:val="24"/>
        </w:rPr>
        <w:t xml:space="preserve">Pièces de la candidature : Le dossier de candidature contient les renseignements concernant la situation propre du prestataire et les formalités nécessaires pour l’évaluation de la capacité économique, financière et technique minimale requise en vue de la sélection des candidatures (Application des articles 45 de l'ordonnance n°2015-899 du 23 Juillet 2015 et ,48, 49 et 55 du décret n°2016-360 du 25 Mars 2016). </w:t>
      </w:r>
    </w:p>
    <w:p w:rsidR="002566E1" w:rsidRDefault="002566E1" w:rsidP="00A33689">
      <w:pPr>
        <w:ind w:right="-567"/>
        <w:jc w:val="both"/>
        <w:rPr>
          <w:rFonts w:ascii="Tahoma" w:hAnsi="Tahoma" w:cs="Tahoma"/>
          <w:sz w:val="24"/>
          <w:szCs w:val="24"/>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Les candidats doivent utiliser les formulaires DC1 (lettre de candidature) et DC2 (déclaration du candidat) pour présenter leur candidature. Ces documents sont disponibles gratuitement sur le site </w:t>
      </w:r>
      <w:hyperlink r:id="rId10" w:history="1">
        <w:r w:rsidRPr="00D01FC2">
          <w:rPr>
            <w:rStyle w:val="Lienhypertexte"/>
            <w:rFonts w:ascii="Tahoma" w:hAnsi="Tahoma" w:cs="Tahoma"/>
            <w:sz w:val="24"/>
            <w:szCs w:val="24"/>
          </w:rPr>
          <w:t>www.economie.gouv.fr</w:t>
        </w:r>
      </w:hyperlink>
      <w:r w:rsidRPr="002566E1">
        <w:rPr>
          <w:rFonts w:ascii="Tahoma" w:hAnsi="Tahoma" w:cs="Tahoma"/>
          <w:sz w:val="24"/>
          <w:szCs w:val="24"/>
        </w:rPr>
        <w:t xml:space="preserve">. </w:t>
      </w:r>
    </w:p>
    <w:p w:rsidR="002566E1" w:rsidRDefault="002566E1" w:rsidP="00A33689">
      <w:pPr>
        <w:ind w:right="-567"/>
        <w:jc w:val="both"/>
        <w:rPr>
          <w:rFonts w:ascii="Tahoma" w:hAnsi="Tahoma" w:cs="Tahoma"/>
          <w:sz w:val="24"/>
          <w:szCs w:val="24"/>
        </w:rPr>
      </w:pPr>
      <w:r>
        <w:rPr>
          <w:rFonts w:ascii="Tahoma" w:hAnsi="Tahoma" w:cs="Tahoma"/>
          <w:sz w:val="24"/>
          <w:szCs w:val="24"/>
        </w:rPr>
        <w:t xml:space="preserve">- </w:t>
      </w:r>
      <w:r w:rsidRPr="002566E1">
        <w:rPr>
          <w:rFonts w:ascii="Tahoma" w:hAnsi="Tahoma" w:cs="Tahoma"/>
          <w:sz w:val="24"/>
          <w:szCs w:val="24"/>
        </w:rPr>
        <w:t xml:space="preserve">Justifications à produire concernant les références professionnelles et la capacité technique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lastRenderedPageBreak/>
        <w:t xml:space="preserve"> • Liste des principales fournitures effectuées au cours des trois dernières années, indiquant le montant, la date et le destinataire public ou privé. Les livraisons sont prouvées par des attestations du destinataire ou, à défaut, par une déclaration de l’opérateur économique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Déclaration indiquant l’outillage, le matériel et l’équipement technique dont le candidat dispose pour la réalisation de contrats de même nature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Description de l’équipement technique, des mesures employées par l’opérateur économique pour s’assurer de la qualité et des moyens d’étude et de recherche de son entreprise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Attestations d’assurance responsabilité civile professionnelle en cours de validité Pour justifier des capacités professionnelles, techniques et financières d’autres opérateurs économiques sur lesquels il s’appuie pour présenter sa candidature, le candidat produit les mêmes documents concernant cet opérateur économique que ceux qui lui sont exigés par le pouvoir adjudicateur. En outre, pour justifier qu’il dispose des capacités de cet opérateur économique pour l’exécution des prestations, le candidat produit un engagement écrit de l’opérateur économique. Pièces de l’offre : Un projet de marché comprenant : </w:t>
      </w:r>
    </w:p>
    <w:p w:rsidR="002566E1" w:rsidRDefault="002566E1" w:rsidP="00A33689">
      <w:pPr>
        <w:ind w:right="-567"/>
        <w:jc w:val="both"/>
        <w:rPr>
          <w:rFonts w:ascii="Tahoma" w:hAnsi="Tahoma" w:cs="Tahoma"/>
          <w:sz w:val="24"/>
          <w:szCs w:val="24"/>
        </w:rPr>
      </w:pPr>
    </w:p>
    <w:p w:rsidR="00586CA2" w:rsidRPr="00586CA2" w:rsidRDefault="00586CA2" w:rsidP="00586CA2">
      <w:pPr>
        <w:pBdr>
          <w:top w:val="single" w:sz="4" w:space="1" w:color="auto"/>
          <w:left w:val="single" w:sz="4" w:space="4" w:color="auto"/>
          <w:bottom w:val="single" w:sz="4" w:space="1" w:color="auto"/>
          <w:right w:val="single" w:sz="4" w:space="4" w:color="auto"/>
        </w:pBdr>
        <w:ind w:right="-567"/>
        <w:jc w:val="both"/>
        <w:rPr>
          <w:rFonts w:ascii="Tahoma" w:hAnsi="Tahoma" w:cs="Tahoma"/>
          <w:b/>
          <w:sz w:val="24"/>
          <w:szCs w:val="24"/>
        </w:rPr>
      </w:pPr>
      <w:r w:rsidRPr="00586CA2">
        <w:rPr>
          <w:rFonts w:ascii="Arial" w:hAnsi="Arial" w:cs="Arial"/>
          <w:b/>
          <w:sz w:val="25"/>
          <w:szCs w:val="25"/>
        </w:rPr>
        <w:t>En cas de sous-traitance : En cas de présentation des sous-traitants dès la remise des candidatures, le pli comporte un dossier « candidature » par entreprise, regroupant pour chaque sous-traitant les mêmes pièces que celles demandées pour chaque candidat sauf la lettre de candidature.</w:t>
      </w:r>
    </w:p>
    <w:p w:rsidR="00586CA2" w:rsidRDefault="00586CA2" w:rsidP="00A33689">
      <w:pPr>
        <w:ind w:right="-567"/>
        <w:jc w:val="both"/>
        <w:rPr>
          <w:rFonts w:ascii="Tahoma" w:hAnsi="Tahoma" w:cs="Tahoma"/>
          <w:sz w:val="24"/>
          <w:szCs w:val="24"/>
          <w:u w:val="single"/>
        </w:rPr>
      </w:pP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Pièces de l’offre : Un projet de marché comprenant :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xml:space="preserve">• L’acte d’engagement (A.E.) dûment renseigné : à compléter par les représentants qualifiés des entreprises ayant vocation à être titulaires du contrat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administratives</w:t>
      </w:r>
      <w:r w:rsidRPr="002566E1">
        <w:rPr>
          <w:rFonts w:ascii="Tahoma" w:hAnsi="Tahoma" w:cs="Tahoma"/>
          <w:sz w:val="24"/>
          <w:szCs w:val="24"/>
        </w:rPr>
        <w:t xml:space="preserve"> particulières (C.C</w:t>
      </w:r>
      <w:r>
        <w:rPr>
          <w:rFonts w:ascii="Tahoma" w:hAnsi="Tahoma" w:cs="Tahoma"/>
          <w:sz w:val="24"/>
          <w:szCs w:val="24"/>
        </w:rPr>
        <w:t>.A</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•Le cahier des clauses</w:t>
      </w:r>
      <w:r>
        <w:rPr>
          <w:rFonts w:ascii="Tahoma" w:hAnsi="Tahoma" w:cs="Tahoma"/>
          <w:sz w:val="24"/>
          <w:szCs w:val="24"/>
        </w:rPr>
        <w:t xml:space="preserve"> techniques</w:t>
      </w:r>
      <w:r w:rsidRPr="002566E1">
        <w:rPr>
          <w:rFonts w:ascii="Tahoma" w:hAnsi="Tahoma" w:cs="Tahoma"/>
          <w:sz w:val="24"/>
          <w:szCs w:val="24"/>
        </w:rPr>
        <w:t xml:space="preserve"> particulières (C.C</w:t>
      </w:r>
      <w:r>
        <w:rPr>
          <w:rFonts w:ascii="Tahoma" w:hAnsi="Tahoma" w:cs="Tahoma"/>
          <w:sz w:val="24"/>
          <w:szCs w:val="24"/>
        </w:rPr>
        <w:t>.T</w:t>
      </w:r>
      <w:r w:rsidRPr="002566E1">
        <w:rPr>
          <w:rFonts w:ascii="Tahoma" w:hAnsi="Tahoma" w:cs="Tahoma"/>
          <w:sz w:val="24"/>
          <w:szCs w:val="24"/>
        </w:rPr>
        <w:t xml:space="preserve">.P.) cahier ci-joint à accepter sans </w:t>
      </w:r>
      <w:proofErr w:type="gramStart"/>
      <w:r w:rsidRPr="002566E1">
        <w:rPr>
          <w:rFonts w:ascii="Tahoma" w:hAnsi="Tahoma" w:cs="Tahoma"/>
          <w:sz w:val="24"/>
          <w:szCs w:val="24"/>
        </w:rPr>
        <w:t>aucune modification daté</w:t>
      </w:r>
      <w:proofErr w:type="gramEnd"/>
      <w:r w:rsidRPr="002566E1">
        <w:rPr>
          <w:rFonts w:ascii="Tahoma" w:hAnsi="Tahoma" w:cs="Tahoma"/>
          <w:sz w:val="24"/>
          <w:szCs w:val="24"/>
        </w:rPr>
        <w:t xml:space="preserve"> et signé </w:t>
      </w:r>
    </w:p>
    <w:p w:rsidR="002566E1" w:rsidRDefault="002566E1" w:rsidP="00A33689">
      <w:pPr>
        <w:ind w:right="-567"/>
        <w:jc w:val="both"/>
        <w:rPr>
          <w:rFonts w:ascii="Tahoma" w:hAnsi="Tahoma" w:cs="Tahoma"/>
          <w:sz w:val="24"/>
          <w:szCs w:val="24"/>
        </w:rPr>
      </w:pPr>
      <w:r w:rsidRPr="002566E1">
        <w:rPr>
          <w:rFonts w:ascii="Tahoma" w:hAnsi="Tahoma" w:cs="Tahoma"/>
          <w:sz w:val="24"/>
          <w:szCs w:val="24"/>
        </w:rPr>
        <w:t>• Le règlement de la consultation</w:t>
      </w:r>
    </w:p>
    <w:p w:rsidR="002538A8" w:rsidRDefault="002566E1" w:rsidP="00A33689">
      <w:pPr>
        <w:ind w:right="-567"/>
        <w:jc w:val="both"/>
        <w:rPr>
          <w:rFonts w:ascii="Tahoma" w:hAnsi="Tahoma" w:cs="Tahoma"/>
          <w:sz w:val="24"/>
          <w:szCs w:val="24"/>
        </w:rPr>
      </w:pPr>
      <w:r w:rsidRPr="002566E1">
        <w:rPr>
          <w:rFonts w:ascii="Tahoma" w:hAnsi="Tahoma" w:cs="Tahoma"/>
          <w:sz w:val="24"/>
          <w:szCs w:val="24"/>
        </w:rPr>
        <w:t xml:space="preserve"> • Le détail </w:t>
      </w:r>
      <w:r w:rsidR="00586CA2">
        <w:rPr>
          <w:rFonts w:ascii="Tahoma" w:hAnsi="Tahoma" w:cs="Tahoma"/>
          <w:sz w:val="24"/>
          <w:szCs w:val="24"/>
        </w:rPr>
        <w:t>quantitatif estimatif.</w:t>
      </w:r>
      <w:r w:rsidRPr="002566E1">
        <w:rPr>
          <w:rFonts w:ascii="Tahoma" w:hAnsi="Tahoma" w:cs="Tahoma"/>
          <w:sz w:val="24"/>
          <w:szCs w:val="24"/>
        </w:rPr>
        <w:t xml:space="preserve"> </w:t>
      </w:r>
    </w:p>
    <w:p w:rsidR="002566E1" w:rsidRPr="002566E1" w:rsidRDefault="002566E1" w:rsidP="00586CA2">
      <w:pPr>
        <w:ind w:right="-567"/>
        <w:jc w:val="both"/>
        <w:rPr>
          <w:rFonts w:ascii="Tahoma" w:hAnsi="Tahoma" w:cs="Tahoma"/>
          <w:sz w:val="24"/>
          <w:szCs w:val="24"/>
        </w:rPr>
      </w:pPr>
      <w:r w:rsidRPr="002566E1">
        <w:rPr>
          <w:rFonts w:ascii="Tahoma" w:hAnsi="Tahoma" w:cs="Tahoma"/>
          <w:sz w:val="24"/>
          <w:szCs w:val="24"/>
        </w:rPr>
        <w:t xml:space="preserve">• </w:t>
      </w:r>
      <w:r w:rsidR="00586CA2">
        <w:rPr>
          <w:rFonts w:ascii="Tahoma" w:hAnsi="Tahoma" w:cs="Tahoma"/>
          <w:sz w:val="24"/>
          <w:szCs w:val="24"/>
        </w:rPr>
        <w:t>Le certificat de visite.</w:t>
      </w:r>
    </w:p>
    <w:p w:rsidR="002566E1" w:rsidRPr="002566E1" w:rsidRDefault="002566E1" w:rsidP="00A33689">
      <w:pPr>
        <w:ind w:right="-567"/>
        <w:jc w:val="both"/>
        <w:rPr>
          <w:rFonts w:ascii="Tahoma" w:hAnsi="Tahoma" w:cs="Tahoma"/>
          <w:sz w:val="24"/>
          <w:szCs w:val="24"/>
        </w:rPr>
      </w:pPr>
    </w:p>
    <w:p w:rsidR="009918AE" w:rsidRPr="00902C4E" w:rsidRDefault="009918AE" w:rsidP="00A33689">
      <w:pPr>
        <w:ind w:right="-567"/>
        <w:jc w:val="both"/>
        <w:rPr>
          <w:rFonts w:ascii="Tahoma" w:hAnsi="Tahoma" w:cs="Tahoma"/>
          <w:sz w:val="24"/>
          <w:szCs w:val="24"/>
          <w:u w:val="single"/>
        </w:rPr>
      </w:pPr>
      <w:r w:rsidRPr="00902C4E">
        <w:rPr>
          <w:rFonts w:ascii="Tahoma" w:hAnsi="Tahoma" w:cs="Tahoma"/>
          <w:sz w:val="24"/>
          <w:szCs w:val="24"/>
          <w:u w:val="single"/>
        </w:rPr>
        <w:t xml:space="preserve">Article </w:t>
      </w:r>
      <w:r w:rsidR="00175E13">
        <w:rPr>
          <w:rFonts w:ascii="Tahoma" w:hAnsi="Tahoma" w:cs="Tahoma"/>
          <w:sz w:val="24"/>
          <w:szCs w:val="24"/>
          <w:u w:val="single"/>
        </w:rPr>
        <w:t>8</w:t>
      </w:r>
      <w:r w:rsidRPr="00902C4E">
        <w:rPr>
          <w:rFonts w:ascii="Tahoma" w:hAnsi="Tahoma" w:cs="Tahoma"/>
          <w:sz w:val="24"/>
          <w:szCs w:val="24"/>
          <w:u w:val="single"/>
        </w:rPr>
        <w:t xml:space="preserve">– </w:t>
      </w:r>
      <w:r w:rsidR="00077863">
        <w:rPr>
          <w:rFonts w:ascii="Tahoma" w:hAnsi="Tahoma" w:cs="Tahoma"/>
          <w:sz w:val="24"/>
          <w:szCs w:val="24"/>
          <w:u w:val="single"/>
        </w:rPr>
        <w:t>Sélection</w:t>
      </w:r>
      <w:r w:rsidR="002538A8">
        <w:rPr>
          <w:rFonts w:ascii="Tahoma" w:hAnsi="Tahoma" w:cs="Tahoma"/>
          <w:sz w:val="24"/>
          <w:szCs w:val="24"/>
          <w:u w:val="single"/>
        </w:rPr>
        <w:t xml:space="preserve"> des candidatures et jugement des offres</w:t>
      </w:r>
    </w:p>
    <w:p w:rsidR="009918AE" w:rsidRDefault="009918AE" w:rsidP="00A33689">
      <w:pPr>
        <w:ind w:right="-567"/>
        <w:jc w:val="both"/>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La sélection des candidatures et le jugement des offres seront effectués dans le respect des principes fondamentaux de la commande publique. </w:t>
      </w:r>
    </w:p>
    <w:p w:rsidR="002538A8" w:rsidRDefault="002538A8" w:rsidP="00C60C4E">
      <w:pPr>
        <w:ind w:right="-567"/>
        <w:rPr>
          <w:rFonts w:ascii="Tahoma" w:hAnsi="Tahoma" w:cs="Tahoma"/>
          <w:sz w:val="24"/>
          <w:szCs w:val="24"/>
        </w:rPr>
      </w:pPr>
      <w:r w:rsidRPr="002538A8">
        <w:rPr>
          <w:rFonts w:ascii="Tahoma" w:hAnsi="Tahoma" w:cs="Tahoma"/>
          <w:sz w:val="24"/>
          <w:szCs w:val="24"/>
        </w:rPr>
        <w:t xml:space="preserve">Les critères intervenant pour la sélection des candidatures sont : Garanties et capacités techniques et financières </w:t>
      </w:r>
      <w:r w:rsidR="00DC3C10">
        <w:rPr>
          <w:rFonts w:ascii="Tahoma" w:hAnsi="Tahoma" w:cs="Tahoma"/>
          <w:sz w:val="24"/>
          <w:szCs w:val="24"/>
        </w:rPr>
        <w:t>et c</w:t>
      </w:r>
      <w:r w:rsidRPr="002538A8">
        <w:rPr>
          <w:rFonts w:ascii="Tahoma" w:hAnsi="Tahoma" w:cs="Tahoma"/>
          <w:sz w:val="24"/>
          <w:szCs w:val="24"/>
        </w:rPr>
        <w:t>apacités professionnelles</w:t>
      </w:r>
      <w:r>
        <w:rPr>
          <w:rFonts w:ascii="Tahoma" w:hAnsi="Tahoma" w:cs="Tahoma"/>
          <w:sz w:val="24"/>
          <w:szCs w:val="24"/>
        </w:rPr>
        <w:t>.</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Les critères retenus pour le jugement des offres sont pondérés de la manière suivante :</w:t>
      </w:r>
    </w:p>
    <w:p w:rsidR="002538A8" w:rsidRDefault="002538A8" w:rsidP="00C60C4E">
      <w:pPr>
        <w:ind w:right="-567"/>
        <w:rPr>
          <w:rFonts w:ascii="Tahoma" w:hAnsi="Tahoma" w:cs="Tahoma"/>
          <w:sz w:val="24"/>
          <w:szCs w:val="24"/>
        </w:rPr>
      </w:pPr>
    </w:p>
    <w:p w:rsidR="002538A8" w:rsidRDefault="002538A8" w:rsidP="00C60C4E">
      <w:pPr>
        <w:ind w:right="-567"/>
        <w:rPr>
          <w:rFonts w:ascii="Tahoma" w:hAnsi="Tahoma" w:cs="Tahoma"/>
          <w:sz w:val="24"/>
          <w:szCs w:val="24"/>
        </w:rPr>
      </w:pPr>
      <w:r w:rsidRPr="002538A8">
        <w:rPr>
          <w:rFonts w:ascii="Tahoma" w:hAnsi="Tahoma" w:cs="Tahoma"/>
          <w:sz w:val="24"/>
          <w:szCs w:val="24"/>
        </w:rPr>
        <w:t>Critères Pondération</w:t>
      </w:r>
      <w:r>
        <w:rPr>
          <w:rFonts w:ascii="Tahoma" w:hAnsi="Tahoma" w:cs="Tahoma"/>
          <w:sz w:val="24"/>
          <w:szCs w:val="24"/>
        </w:rPr>
        <w:t> :</w:t>
      </w:r>
    </w:p>
    <w:p w:rsidR="00377662" w:rsidRPr="00277B2B" w:rsidRDefault="002538A8" w:rsidP="00377662">
      <w:pPr>
        <w:autoSpaceDE w:val="0"/>
        <w:autoSpaceDN w:val="0"/>
        <w:adjustRightInd w:val="0"/>
        <w:rPr>
          <w:rFonts w:ascii="Arial" w:hAnsi="Arial" w:cs="Arial"/>
          <w:color w:val="000000"/>
          <w:sz w:val="24"/>
          <w:szCs w:val="24"/>
        </w:rPr>
      </w:pPr>
      <w:r w:rsidRPr="002538A8">
        <w:rPr>
          <w:rFonts w:ascii="Tahoma" w:hAnsi="Tahoma" w:cs="Tahoma"/>
          <w:sz w:val="24"/>
          <w:szCs w:val="24"/>
        </w:rPr>
        <w:t xml:space="preserve">1-Prix des prestations </w:t>
      </w:r>
      <w:r>
        <w:rPr>
          <w:rFonts w:ascii="Tahoma" w:hAnsi="Tahoma" w:cs="Tahoma"/>
          <w:sz w:val="24"/>
          <w:szCs w:val="24"/>
        </w:rPr>
        <w:t>5</w:t>
      </w:r>
      <w:r w:rsidRPr="002538A8">
        <w:rPr>
          <w:rFonts w:ascii="Tahoma" w:hAnsi="Tahoma" w:cs="Tahoma"/>
          <w:sz w:val="24"/>
          <w:szCs w:val="24"/>
        </w:rPr>
        <w:t>0 %</w:t>
      </w:r>
      <w:r w:rsidR="00DC3C10">
        <w:rPr>
          <w:rFonts w:ascii="Tahoma" w:hAnsi="Tahoma" w:cs="Tahoma"/>
          <w:sz w:val="24"/>
          <w:szCs w:val="24"/>
        </w:rPr>
        <w:t xml:space="preserve"> </w:t>
      </w:r>
      <w:r w:rsidR="00377662">
        <w:rPr>
          <w:rFonts w:ascii="Tahoma" w:hAnsi="Tahoma" w:cs="Tahoma"/>
          <w:sz w:val="24"/>
          <w:szCs w:val="24"/>
        </w:rPr>
        <w:t>noté sur 20 le moins disant obtient la note de 20.</w:t>
      </w:r>
      <w:r w:rsidR="00377662" w:rsidRPr="00377662">
        <w:rPr>
          <w:rFonts w:ascii="Arial" w:hAnsi="Arial" w:cs="Arial"/>
          <w:color w:val="000000"/>
          <w:sz w:val="24"/>
          <w:szCs w:val="24"/>
        </w:rPr>
        <w:t xml:space="preserve"> </w:t>
      </w:r>
      <w:r w:rsidR="00377662">
        <w:rPr>
          <w:rFonts w:ascii="Arial" w:hAnsi="Arial" w:cs="Arial"/>
          <w:color w:val="000000"/>
          <w:sz w:val="24"/>
          <w:szCs w:val="24"/>
        </w:rPr>
        <w:t xml:space="preserve">Pour les autres candidats </w:t>
      </w:r>
      <w:r w:rsidR="00377662" w:rsidRPr="00277B2B">
        <w:rPr>
          <w:rFonts w:ascii="Arial" w:hAnsi="Arial" w:cs="Arial"/>
          <w:color w:val="000000"/>
          <w:sz w:val="24"/>
          <w:szCs w:val="24"/>
        </w:rPr>
        <w:t>la notation obtenue se fait sur la base d’une règle de trois avec pour référence le tarif le moins élevé Note = (tarif moins disant /tarif candidat) X 20</w:t>
      </w:r>
    </w:p>
    <w:p w:rsidR="00377662" w:rsidRPr="00277B2B" w:rsidRDefault="00377662" w:rsidP="00377662">
      <w:pPr>
        <w:autoSpaceDE w:val="0"/>
        <w:autoSpaceDN w:val="0"/>
        <w:adjustRightInd w:val="0"/>
        <w:rPr>
          <w:rFonts w:ascii="Arial" w:hAnsi="Arial" w:cs="Arial"/>
          <w:color w:val="000000"/>
          <w:sz w:val="24"/>
          <w:szCs w:val="24"/>
        </w:rPr>
      </w:pPr>
    </w:p>
    <w:p w:rsidR="00586CA2" w:rsidRDefault="00586CA2" w:rsidP="00C60C4E">
      <w:pPr>
        <w:ind w:right="-567"/>
        <w:rPr>
          <w:rFonts w:ascii="Tahoma" w:hAnsi="Tahoma" w:cs="Tahoma"/>
          <w:sz w:val="24"/>
          <w:szCs w:val="24"/>
        </w:rPr>
      </w:pPr>
    </w:p>
    <w:p w:rsidR="00586CA2" w:rsidRDefault="00586CA2" w:rsidP="00C60C4E">
      <w:pPr>
        <w:ind w:right="-567"/>
        <w:rPr>
          <w:rFonts w:ascii="Tahoma" w:hAnsi="Tahoma" w:cs="Tahoma"/>
          <w:sz w:val="24"/>
          <w:szCs w:val="24"/>
        </w:rPr>
      </w:pPr>
      <w:r>
        <w:rPr>
          <w:rFonts w:ascii="Tahoma" w:hAnsi="Tahoma" w:cs="Tahoma"/>
          <w:sz w:val="24"/>
          <w:szCs w:val="24"/>
        </w:rPr>
        <w:lastRenderedPageBreak/>
        <w:t>2-Valeur technique 40%</w:t>
      </w:r>
      <w:r w:rsidR="00377662">
        <w:rPr>
          <w:rFonts w:ascii="Tahoma" w:hAnsi="Tahoma" w:cs="Tahoma"/>
          <w:sz w:val="24"/>
          <w:szCs w:val="24"/>
        </w:rPr>
        <w:t xml:space="preserve"> </w:t>
      </w:r>
      <w:r w:rsidR="00DC3C10">
        <w:rPr>
          <w:rFonts w:ascii="Tahoma" w:hAnsi="Tahoma" w:cs="Tahoma"/>
          <w:sz w:val="24"/>
          <w:szCs w:val="24"/>
        </w:rPr>
        <w:t>n</w:t>
      </w:r>
      <w:r w:rsidR="00377662">
        <w:rPr>
          <w:rFonts w:ascii="Tahoma" w:hAnsi="Tahoma" w:cs="Tahoma"/>
          <w:sz w:val="24"/>
          <w:szCs w:val="24"/>
        </w:rPr>
        <w:t>oté</w:t>
      </w:r>
      <w:r w:rsidR="00DC3C10">
        <w:rPr>
          <w:rFonts w:ascii="Tahoma" w:hAnsi="Tahoma" w:cs="Tahoma"/>
          <w:sz w:val="24"/>
          <w:szCs w:val="24"/>
        </w:rPr>
        <w:t>e</w:t>
      </w:r>
      <w:r w:rsidR="00377662">
        <w:rPr>
          <w:rFonts w:ascii="Tahoma" w:hAnsi="Tahoma" w:cs="Tahoma"/>
          <w:sz w:val="24"/>
          <w:szCs w:val="24"/>
        </w:rPr>
        <w:t xml:space="preserve"> sur 20 </w:t>
      </w:r>
      <w:proofErr w:type="gramStart"/>
      <w:r w:rsidR="00377662">
        <w:rPr>
          <w:rFonts w:ascii="Tahoma" w:hAnsi="Tahoma" w:cs="Tahoma"/>
          <w:sz w:val="24"/>
          <w:szCs w:val="24"/>
        </w:rPr>
        <w:t>analysé</w:t>
      </w:r>
      <w:r w:rsidR="00DC3C10">
        <w:rPr>
          <w:rFonts w:ascii="Tahoma" w:hAnsi="Tahoma" w:cs="Tahoma"/>
          <w:sz w:val="24"/>
          <w:szCs w:val="24"/>
        </w:rPr>
        <w:t>e</w:t>
      </w:r>
      <w:proofErr w:type="gramEnd"/>
      <w:r w:rsidR="00377662">
        <w:rPr>
          <w:rFonts w:ascii="Tahoma" w:hAnsi="Tahoma" w:cs="Tahoma"/>
          <w:sz w:val="24"/>
          <w:szCs w:val="24"/>
        </w:rPr>
        <w:t xml:space="preserve"> en fonction du personnel employé pour réaliser les travaux (5 </w:t>
      </w:r>
      <w:r w:rsidR="00DC3C10">
        <w:rPr>
          <w:rFonts w:ascii="Tahoma" w:hAnsi="Tahoma" w:cs="Tahoma"/>
          <w:sz w:val="24"/>
          <w:szCs w:val="24"/>
        </w:rPr>
        <w:t>points)</w:t>
      </w:r>
      <w:r w:rsidR="00377662">
        <w:rPr>
          <w:rFonts w:ascii="Tahoma" w:hAnsi="Tahoma" w:cs="Tahoma"/>
          <w:sz w:val="24"/>
          <w:szCs w:val="24"/>
        </w:rPr>
        <w:t>, les solutions techniques envisagées (5 points), les moyens matériels dédiés au chantier (5 points), les références à des travaux similaires (5 points)</w:t>
      </w:r>
    </w:p>
    <w:p w:rsidR="00377662" w:rsidRPr="00277B2B" w:rsidRDefault="00DC3C10" w:rsidP="00377662">
      <w:pPr>
        <w:autoSpaceDE w:val="0"/>
        <w:autoSpaceDN w:val="0"/>
        <w:adjustRightInd w:val="0"/>
        <w:rPr>
          <w:rFonts w:ascii="Arial" w:hAnsi="Arial" w:cs="Arial"/>
          <w:color w:val="000000"/>
          <w:sz w:val="24"/>
          <w:szCs w:val="24"/>
        </w:rPr>
      </w:pPr>
      <w:r>
        <w:rPr>
          <w:rFonts w:ascii="Tahoma" w:hAnsi="Tahoma" w:cs="Tahoma"/>
          <w:sz w:val="24"/>
          <w:szCs w:val="24"/>
        </w:rPr>
        <w:t>3</w:t>
      </w:r>
      <w:r w:rsidR="002538A8" w:rsidRPr="002538A8">
        <w:rPr>
          <w:rFonts w:ascii="Tahoma" w:hAnsi="Tahoma" w:cs="Tahoma"/>
          <w:sz w:val="24"/>
          <w:szCs w:val="24"/>
        </w:rPr>
        <w:t xml:space="preserve">-Délai </w:t>
      </w:r>
      <w:r w:rsidR="002538A8">
        <w:rPr>
          <w:rFonts w:ascii="Tahoma" w:hAnsi="Tahoma" w:cs="Tahoma"/>
          <w:sz w:val="24"/>
          <w:szCs w:val="24"/>
        </w:rPr>
        <w:t>1</w:t>
      </w:r>
      <w:r w:rsidR="002538A8" w:rsidRPr="002538A8">
        <w:rPr>
          <w:rFonts w:ascii="Tahoma" w:hAnsi="Tahoma" w:cs="Tahoma"/>
          <w:sz w:val="24"/>
          <w:szCs w:val="24"/>
        </w:rPr>
        <w:t>0 %</w:t>
      </w:r>
      <w:r w:rsidR="00CD1FF1">
        <w:rPr>
          <w:rFonts w:ascii="Tahoma" w:hAnsi="Tahoma" w:cs="Tahoma"/>
          <w:sz w:val="24"/>
          <w:szCs w:val="24"/>
        </w:rPr>
        <w:t>.</w:t>
      </w:r>
      <w:r w:rsidR="00377662" w:rsidRPr="00377662">
        <w:rPr>
          <w:rFonts w:ascii="Tahoma" w:hAnsi="Tahoma" w:cs="Tahoma"/>
          <w:sz w:val="24"/>
          <w:szCs w:val="24"/>
        </w:rPr>
        <w:t xml:space="preserve"> </w:t>
      </w:r>
      <w:proofErr w:type="gramStart"/>
      <w:r w:rsidR="00377662">
        <w:rPr>
          <w:rFonts w:ascii="Tahoma" w:hAnsi="Tahoma" w:cs="Tahoma"/>
          <w:sz w:val="24"/>
          <w:szCs w:val="24"/>
        </w:rPr>
        <w:t>noté</w:t>
      </w:r>
      <w:proofErr w:type="gramEnd"/>
      <w:r w:rsidR="00377662">
        <w:rPr>
          <w:rFonts w:ascii="Tahoma" w:hAnsi="Tahoma" w:cs="Tahoma"/>
          <w:sz w:val="24"/>
          <w:szCs w:val="24"/>
        </w:rPr>
        <w:t xml:space="preserve"> sur 20.  10 </w:t>
      </w:r>
      <w:r>
        <w:rPr>
          <w:rFonts w:ascii="Tahoma" w:hAnsi="Tahoma" w:cs="Tahoma"/>
          <w:sz w:val="24"/>
          <w:szCs w:val="24"/>
        </w:rPr>
        <w:t>points</w:t>
      </w:r>
      <w:r w:rsidR="00377662">
        <w:rPr>
          <w:rFonts w:ascii="Tahoma" w:hAnsi="Tahoma" w:cs="Tahoma"/>
          <w:sz w:val="24"/>
          <w:szCs w:val="24"/>
        </w:rPr>
        <w:t xml:space="preserve"> pour la rapidité de réalisation des travaux le moins disant obtient la note de 10.</w:t>
      </w:r>
      <w:r w:rsidR="00377662" w:rsidRPr="00377662">
        <w:rPr>
          <w:rFonts w:ascii="Arial" w:hAnsi="Arial" w:cs="Arial"/>
          <w:color w:val="000000"/>
          <w:sz w:val="24"/>
          <w:szCs w:val="24"/>
        </w:rPr>
        <w:t xml:space="preserve"> </w:t>
      </w:r>
      <w:r w:rsidR="00377662">
        <w:rPr>
          <w:rFonts w:ascii="Arial" w:hAnsi="Arial" w:cs="Arial"/>
          <w:color w:val="000000"/>
          <w:sz w:val="24"/>
          <w:szCs w:val="24"/>
        </w:rPr>
        <w:t xml:space="preserve">Pour les autres candidats </w:t>
      </w:r>
      <w:r w:rsidR="00377662" w:rsidRPr="00277B2B">
        <w:rPr>
          <w:rFonts w:ascii="Arial" w:hAnsi="Arial" w:cs="Arial"/>
          <w:color w:val="000000"/>
          <w:sz w:val="24"/>
          <w:szCs w:val="24"/>
        </w:rPr>
        <w:t xml:space="preserve">la notation obtenue se fait sur la base d’une règle de trois avec pour référence </w:t>
      </w:r>
      <w:r w:rsidR="00377662">
        <w:rPr>
          <w:rFonts w:ascii="Arial" w:hAnsi="Arial" w:cs="Arial"/>
          <w:color w:val="000000"/>
          <w:sz w:val="24"/>
          <w:szCs w:val="24"/>
        </w:rPr>
        <w:t>au délai le plus cour</w:t>
      </w:r>
      <w:r>
        <w:rPr>
          <w:rFonts w:ascii="Arial" w:hAnsi="Arial" w:cs="Arial"/>
          <w:color w:val="000000"/>
          <w:sz w:val="24"/>
          <w:szCs w:val="24"/>
        </w:rPr>
        <w:t>t</w:t>
      </w:r>
      <w:r w:rsidR="00377662" w:rsidRPr="00277B2B">
        <w:rPr>
          <w:rFonts w:ascii="Arial" w:hAnsi="Arial" w:cs="Arial"/>
          <w:color w:val="000000"/>
          <w:sz w:val="24"/>
          <w:szCs w:val="24"/>
        </w:rPr>
        <w:t xml:space="preserve"> Note = (</w:t>
      </w:r>
      <w:r w:rsidR="00377662">
        <w:rPr>
          <w:rFonts w:ascii="Arial" w:hAnsi="Arial" w:cs="Arial"/>
          <w:color w:val="000000"/>
          <w:sz w:val="24"/>
          <w:szCs w:val="24"/>
        </w:rPr>
        <w:t>délai le</w:t>
      </w:r>
      <w:r w:rsidR="00377662" w:rsidRPr="00277B2B">
        <w:rPr>
          <w:rFonts w:ascii="Arial" w:hAnsi="Arial" w:cs="Arial"/>
          <w:color w:val="000000"/>
          <w:sz w:val="24"/>
          <w:szCs w:val="24"/>
        </w:rPr>
        <w:t xml:space="preserve"> moins disant /</w:t>
      </w:r>
      <w:proofErr w:type="spellStart"/>
      <w:r w:rsidR="00377662">
        <w:rPr>
          <w:rFonts w:ascii="Arial" w:hAnsi="Arial" w:cs="Arial"/>
          <w:color w:val="000000"/>
          <w:sz w:val="24"/>
          <w:szCs w:val="24"/>
        </w:rPr>
        <w:t>delai</w:t>
      </w:r>
      <w:proofErr w:type="spellEnd"/>
      <w:r w:rsidR="00377662" w:rsidRPr="00277B2B">
        <w:rPr>
          <w:rFonts w:ascii="Arial" w:hAnsi="Arial" w:cs="Arial"/>
          <w:color w:val="000000"/>
          <w:sz w:val="24"/>
          <w:szCs w:val="24"/>
        </w:rPr>
        <w:t xml:space="preserve"> candidat) X </w:t>
      </w:r>
      <w:r w:rsidR="00377662">
        <w:rPr>
          <w:rFonts w:ascii="Arial" w:hAnsi="Arial" w:cs="Arial"/>
          <w:color w:val="000000"/>
          <w:sz w:val="24"/>
          <w:szCs w:val="24"/>
        </w:rPr>
        <w:t>1</w:t>
      </w:r>
      <w:r w:rsidR="00377662" w:rsidRPr="00277B2B">
        <w:rPr>
          <w:rFonts w:ascii="Arial" w:hAnsi="Arial" w:cs="Arial"/>
          <w:color w:val="000000"/>
          <w:sz w:val="24"/>
          <w:szCs w:val="24"/>
        </w:rPr>
        <w:t>0</w:t>
      </w:r>
      <w:r w:rsidR="00377662">
        <w:rPr>
          <w:rFonts w:ascii="Arial" w:hAnsi="Arial" w:cs="Arial"/>
          <w:color w:val="000000"/>
          <w:sz w:val="24"/>
          <w:szCs w:val="24"/>
        </w:rPr>
        <w:t>. Les 10 autres points seront dévolus à la cohérence du planning d’intervention.</w:t>
      </w:r>
    </w:p>
    <w:p w:rsidR="00077863" w:rsidRDefault="00077863" w:rsidP="00C60C4E">
      <w:pPr>
        <w:ind w:right="-567"/>
        <w:rPr>
          <w:rFonts w:ascii="Tahoma" w:hAnsi="Tahoma" w:cs="Tahoma"/>
          <w:sz w:val="24"/>
          <w:szCs w:val="24"/>
        </w:rPr>
      </w:pPr>
    </w:p>
    <w:p w:rsidR="00077863" w:rsidRDefault="00077863" w:rsidP="00C60C4E">
      <w:pPr>
        <w:ind w:right="-567"/>
        <w:rPr>
          <w:rFonts w:ascii="Tahoma" w:hAnsi="Tahoma" w:cs="Tahoma"/>
          <w:sz w:val="24"/>
          <w:szCs w:val="24"/>
        </w:rPr>
      </w:pPr>
      <w:r>
        <w:rPr>
          <w:rFonts w:ascii="Tahoma" w:hAnsi="Tahoma" w:cs="Tahoma"/>
          <w:sz w:val="24"/>
          <w:szCs w:val="24"/>
        </w:rPr>
        <w:t xml:space="preserve">Après examen des offres et avant attribution du marché, le pouvoir adjudicateur </w:t>
      </w:r>
      <w:r w:rsidR="000C071A">
        <w:rPr>
          <w:rFonts w:ascii="Tahoma" w:hAnsi="Tahoma" w:cs="Tahoma"/>
          <w:sz w:val="24"/>
          <w:szCs w:val="24"/>
        </w:rPr>
        <w:t xml:space="preserve">se réserve le droit </w:t>
      </w:r>
      <w:r w:rsidR="00377662">
        <w:rPr>
          <w:rFonts w:ascii="Tahoma" w:hAnsi="Tahoma" w:cs="Tahoma"/>
          <w:sz w:val="24"/>
          <w:szCs w:val="24"/>
        </w:rPr>
        <w:t>d’</w:t>
      </w:r>
      <w:r w:rsidR="00377662" w:rsidRPr="00077863">
        <w:rPr>
          <w:rFonts w:ascii="Tahoma" w:hAnsi="Tahoma" w:cs="Tahoma"/>
          <w:sz w:val="24"/>
          <w:szCs w:val="24"/>
        </w:rPr>
        <w:t>engager</w:t>
      </w:r>
      <w:r w:rsidRPr="00077863">
        <w:rPr>
          <w:rFonts w:ascii="Tahoma" w:hAnsi="Tahoma" w:cs="Tahoma"/>
          <w:sz w:val="24"/>
          <w:szCs w:val="24"/>
        </w:rPr>
        <w:t xml:space="preserve"> des négociations avec le ou les candidats. Afin de choisir l’offre économiquement la plus avantageuse, le jugement des offres, sera effectué dans les conditions prévues à l’article 62 du décret n°2016-360 du 25 Mars 2016, selon les critères énumérés ci-dessus. Le jugement des offres donnera lieu à un classement établi par ordre décroissant. L’offre la mieux classée sera donc retenue à titre provisoire en attendant que le candidat produise les certificats mentionnés à l’article 51 du décret n°2016-360 du 25 Mars 2016.</w:t>
      </w:r>
    </w:p>
    <w:p w:rsidR="009C3A3B" w:rsidRDefault="009C3A3B" w:rsidP="00C60C4E">
      <w:pPr>
        <w:ind w:right="-567"/>
        <w:rPr>
          <w:rFonts w:ascii="Tahoma" w:hAnsi="Tahoma" w:cs="Tahoma"/>
          <w:sz w:val="24"/>
          <w:szCs w:val="24"/>
        </w:rPr>
      </w:pPr>
    </w:p>
    <w:p w:rsidR="009C3A3B" w:rsidRPr="00902C4E" w:rsidRDefault="009C3A3B" w:rsidP="00C60C4E">
      <w:pPr>
        <w:ind w:right="-567"/>
        <w:rPr>
          <w:rFonts w:ascii="Tahoma" w:hAnsi="Tahoma" w:cs="Tahoma"/>
          <w:sz w:val="24"/>
          <w:szCs w:val="24"/>
          <w:u w:val="single"/>
        </w:rPr>
      </w:pPr>
      <w:r w:rsidRPr="00902C4E">
        <w:rPr>
          <w:rFonts w:ascii="Tahoma" w:hAnsi="Tahoma" w:cs="Tahoma"/>
          <w:sz w:val="24"/>
          <w:szCs w:val="24"/>
          <w:u w:val="single"/>
        </w:rPr>
        <w:t>Article </w:t>
      </w:r>
      <w:r w:rsidR="00077863">
        <w:rPr>
          <w:rFonts w:ascii="Tahoma" w:hAnsi="Tahoma" w:cs="Tahoma"/>
          <w:sz w:val="24"/>
          <w:szCs w:val="24"/>
          <w:u w:val="single"/>
        </w:rPr>
        <w:t>9</w:t>
      </w:r>
      <w:r w:rsidRPr="00902C4E">
        <w:rPr>
          <w:rFonts w:ascii="Tahoma" w:hAnsi="Tahoma" w:cs="Tahoma"/>
          <w:sz w:val="24"/>
          <w:szCs w:val="24"/>
          <w:u w:val="single"/>
        </w:rPr>
        <w:t> – </w:t>
      </w:r>
      <w:r w:rsidR="00077863">
        <w:rPr>
          <w:rFonts w:ascii="Tahoma" w:hAnsi="Tahoma" w:cs="Tahoma"/>
          <w:sz w:val="24"/>
          <w:szCs w:val="24"/>
          <w:u w:val="single"/>
        </w:rPr>
        <w:t>Conditions d’envoi ou de remise des offres</w:t>
      </w:r>
      <w:r w:rsidRPr="00902C4E">
        <w:rPr>
          <w:rFonts w:ascii="Tahoma" w:hAnsi="Tahoma" w:cs="Tahoma"/>
          <w:sz w:val="24"/>
          <w:szCs w:val="24"/>
          <w:u w:val="single"/>
        </w:rPr>
        <w:t xml:space="preserve">   </w:t>
      </w:r>
    </w:p>
    <w:p w:rsidR="00077863" w:rsidRDefault="00077863" w:rsidP="00497D59">
      <w:pPr>
        <w:ind w:right="-993"/>
        <w:rPr>
          <w:rFonts w:ascii="Tahoma" w:hAnsi="Tahoma" w:cs="Tahoma"/>
          <w:sz w:val="24"/>
          <w:szCs w:val="24"/>
        </w:rPr>
      </w:pPr>
    </w:p>
    <w:p w:rsidR="00586CA2" w:rsidRPr="00277B2B" w:rsidRDefault="00586CA2" w:rsidP="00586CA2">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 xml:space="preserve">Les </w:t>
      </w:r>
      <w:r>
        <w:rPr>
          <w:rFonts w:ascii="Arial" w:hAnsi="Arial" w:cs="Arial"/>
          <w:color w:val="000000"/>
          <w:sz w:val="24"/>
          <w:szCs w:val="24"/>
        </w:rPr>
        <w:t xml:space="preserve">candidatures et les </w:t>
      </w:r>
      <w:r w:rsidRPr="00277B2B">
        <w:rPr>
          <w:rFonts w:ascii="Arial" w:hAnsi="Arial" w:cs="Arial"/>
          <w:color w:val="000000"/>
          <w:sz w:val="24"/>
          <w:szCs w:val="24"/>
        </w:rPr>
        <w:t xml:space="preserve">offres </w:t>
      </w:r>
      <w:r>
        <w:rPr>
          <w:rFonts w:ascii="Arial" w:hAnsi="Arial" w:cs="Arial"/>
          <w:color w:val="000000"/>
          <w:sz w:val="24"/>
          <w:szCs w:val="24"/>
        </w:rPr>
        <w:t>devront</w:t>
      </w:r>
      <w:r w:rsidRPr="00277B2B">
        <w:rPr>
          <w:rFonts w:ascii="Arial" w:hAnsi="Arial" w:cs="Arial"/>
          <w:color w:val="000000"/>
          <w:sz w:val="24"/>
          <w:szCs w:val="24"/>
        </w:rPr>
        <w:t xml:space="preserve"> </w:t>
      </w:r>
      <w:r>
        <w:rPr>
          <w:rFonts w:ascii="Arial" w:hAnsi="Arial" w:cs="Arial"/>
          <w:color w:val="000000"/>
          <w:sz w:val="24"/>
          <w:szCs w:val="24"/>
        </w:rPr>
        <w:t>être remise</w:t>
      </w:r>
      <w:r w:rsidR="00DC3C10">
        <w:rPr>
          <w:rFonts w:ascii="Arial" w:hAnsi="Arial" w:cs="Arial"/>
          <w:color w:val="000000"/>
          <w:sz w:val="24"/>
          <w:szCs w:val="24"/>
        </w:rPr>
        <w:t>s</w:t>
      </w:r>
      <w:r>
        <w:rPr>
          <w:rFonts w:ascii="Arial" w:hAnsi="Arial" w:cs="Arial"/>
          <w:color w:val="000000"/>
          <w:sz w:val="24"/>
          <w:szCs w:val="24"/>
        </w:rPr>
        <w:t xml:space="preserve"> par voie dématérialisée sur le profil acheteur de la commune à l’adresse suivante : </w:t>
      </w:r>
      <w:hyperlink r:id="rId11" w:history="1">
        <w:r w:rsidR="000C071A" w:rsidRPr="003A395E">
          <w:rPr>
            <w:rStyle w:val="Lienhypertexte"/>
            <w:rFonts w:ascii="Arial" w:hAnsi="Arial" w:cs="Arial"/>
            <w:sz w:val="24"/>
            <w:szCs w:val="24"/>
          </w:rPr>
          <w:t>www.klekoon.com</w:t>
        </w:r>
      </w:hyperlink>
      <w:r w:rsidR="000C071A">
        <w:rPr>
          <w:rFonts w:ascii="Arial" w:hAnsi="Arial" w:cs="Arial"/>
          <w:color w:val="000000"/>
          <w:sz w:val="24"/>
          <w:szCs w:val="24"/>
        </w:rPr>
        <w:t xml:space="preserve"> ou sur le site de la commune à l’adresse suivante </w:t>
      </w:r>
      <w:r w:rsidR="000C071A" w:rsidRPr="000C071A">
        <w:rPr>
          <w:rStyle w:val="Lienhypertexte"/>
          <w:rFonts w:ascii="Arial" w:hAnsi="Arial" w:cs="Arial"/>
          <w:sz w:val="24"/>
          <w:szCs w:val="24"/>
        </w:rPr>
        <w:t>http://www.cerbere-village.com</w:t>
      </w:r>
    </w:p>
    <w:p w:rsidR="00E370F0" w:rsidRPr="00277B2B" w:rsidRDefault="00E370F0" w:rsidP="00DC3C10">
      <w:pPr>
        <w:autoSpaceDE w:val="0"/>
        <w:autoSpaceDN w:val="0"/>
        <w:adjustRightInd w:val="0"/>
        <w:ind w:right="-851"/>
        <w:rPr>
          <w:rFonts w:ascii="Arial" w:hAnsi="Arial" w:cs="Arial"/>
          <w:color w:val="000000"/>
          <w:sz w:val="24"/>
          <w:szCs w:val="24"/>
        </w:rPr>
      </w:pPr>
    </w:p>
    <w:p w:rsidR="00E370F0" w:rsidRPr="00277B2B" w:rsidRDefault="00E370F0" w:rsidP="00586CA2">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Elle contiendra les justifications à produire par le candidat</w:t>
      </w:r>
      <w:r w:rsidR="00586CA2">
        <w:rPr>
          <w:rFonts w:ascii="Arial" w:hAnsi="Arial" w:cs="Arial"/>
          <w:color w:val="000000"/>
          <w:sz w:val="24"/>
          <w:szCs w:val="24"/>
        </w:rPr>
        <w:t xml:space="preserve">, </w:t>
      </w:r>
      <w:r w:rsidRPr="00277B2B">
        <w:rPr>
          <w:rFonts w:ascii="Arial" w:hAnsi="Arial" w:cs="Arial"/>
          <w:color w:val="000000"/>
          <w:sz w:val="24"/>
          <w:szCs w:val="24"/>
        </w:rPr>
        <w:t>mentionnées</w:t>
      </w:r>
      <w:r>
        <w:rPr>
          <w:rFonts w:ascii="Arial" w:hAnsi="Arial" w:cs="Arial"/>
          <w:color w:val="000000"/>
          <w:sz w:val="24"/>
          <w:szCs w:val="24"/>
        </w:rPr>
        <w:t xml:space="preserve"> dans le</w:t>
      </w:r>
      <w:r w:rsidRPr="00277B2B">
        <w:rPr>
          <w:rFonts w:ascii="Arial" w:hAnsi="Arial" w:cs="Arial"/>
          <w:color w:val="000000"/>
          <w:sz w:val="24"/>
          <w:szCs w:val="24"/>
        </w:rPr>
        <w:t xml:space="preserve"> présent document.</w:t>
      </w:r>
    </w:p>
    <w:p w:rsidR="00E370F0" w:rsidRDefault="00E370F0" w:rsidP="00E370F0">
      <w:pPr>
        <w:autoSpaceDE w:val="0"/>
        <w:autoSpaceDN w:val="0"/>
        <w:adjustRightInd w:val="0"/>
        <w:ind w:right="-851"/>
        <w:rPr>
          <w:rFonts w:ascii="Arial" w:hAnsi="Arial" w:cs="Arial"/>
          <w:color w:val="000000"/>
          <w:sz w:val="24"/>
          <w:szCs w:val="24"/>
        </w:rPr>
      </w:pPr>
    </w:p>
    <w:p w:rsidR="00E370F0"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Aucun envoi par télécopie ne sera accepté.</w:t>
      </w:r>
    </w:p>
    <w:p w:rsidR="00E370F0" w:rsidRDefault="00E370F0" w:rsidP="00E370F0">
      <w:pPr>
        <w:autoSpaceDE w:val="0"/>
        <w:autoSpaceDN w:val="0"/>
        <w:adjustRightInd w:val="0"/>
        <w:ind w:right="-851"/>
        <w:rPr>
          <w:rFonts w:ascii="Arial" w:hAnsi="Arial" w:cs="Arial"/>
          <w:color w:val="000000"/>
          <w:sz w:val="24"/>
          <w:szCs w:val="24"/>
        </w:rPr>
      </w:pPr>
    </w:p>
    <w:p w:rsidR="00E370F0" w:rsidRPr="00E370F0" w:rsidRDefault="00E370F0" w:rsidP="00E370F0">
      <w:pPr>
        <w:autoSpaceDE w:val="0"/>
        <w:autoSpaceDN w:val="0"/>
        <w:adjustRightInd w:val="0"/>
        <w:ind w:right="-851"/>
        <w:rPr>
          <w:rFonts w:ascii="Arial" w:hAnsi="Arial" w:cs="Arial"/>
          <w:color w:val="000000"/>
          <w:sz w:val="24"/>
          <w:szCs w:val="24"/>
          <w:u w:val="single"/>
        </w:rPr>
      </w:pPr>
      <w:r w:rsidRPr="00E370F0">
        <w:rPr>
          <w:rFonts w:ascii="Arial" w:hAnsi="Arial" w:cs="Arial"/>
          <w:color w:val="000000"/>
          <w:sz w:val="24"/>
          <w:szCs w:val="24"/>
          <w:u w:val="single"/>
        </w:rPr>
        <w:t>Article 10 renseignements complémentaires</w:t>
      </w:r>
    </w:p>
    <w:p w:rsidR="00E370F0" w:rsidRPr="00277B2B"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obtenir tous les renseignements complémentaires (administratifs ou techniques) qui leur seraient nécessaires au cours de la consultation, les candidats devront faire parvenir une demande écrite, avant</w:t>
      </w:r>
      <w:r w:rsidR="000C071A">
        <w:rPr>
          <w:rFonts w:ascii="Arial" w:hAnsi="Arial" w:cs="Arial"/>
          <w:color w:val="000000"/>
          <w:sz w:val="24"/>
          <w:szCs w:val="24"/>
        </w:rPr>
        <w:t xml:space="preserve"> </w:t>
      </w:r>
      <w:r w:rsidRPr="00277B2B">
        <w:rPr>
          <w:rFonts w:ascii="Arial" w:hAnsi="Arial" w:cs="Arial"/>
          <w:color w:val="000000"/>
          <w:sz w:val="24"/>
          <w:szCs w:val="24"/>
        </w:rPr>
        <w:t>la date limite de remise des offres à :</w:t>
      </w:r>
    </w:p>
    <w:p w:rsidR="000C071A" w:rsidRDefault="000C071A" w:rsidP="00E370F0">
      <w:pPr>
        <w:autoSpaceDE w:val="0"/>
        <w:autoSpaceDN w:val="0"/>
        <w:adjustRightInd w:val="0"/>
        <w:ind w:right="-851"/>
        <w:jc w:val="center"/>
        <w:rPr>
          <w:rFonts w:ascii="Arial" w:hAnsi="Arial" w:cs="Arial"/>
          <w:color w:val="000000"/>
          <w:sz w:val="24"/>
          <w:szCs w:val="24"/>
        </w:rPr>
      </w:pPr>
    </w:p>
    <w:p w:rsidR="00E370F0" w:rsidRPr="00277B2B" w:rsidRDefault="00E370F0" w:rsidP="00E370F0">
      <w:pPr>
        <w:autoSpaceDE w:val="0"/>
        <w:autoSpaceDN w:val="0"/>
        <w:adjustRightInd w:val="0"/>
        <w:ind w:right="-851"/>
        <w:jc w:val="center"/>
        <w:rPr>
          <w:rFonts w:ascii="Arial" w:hAnsi="Arial" w:cs="Arial"/>
          <w:color w:val="000000"/>
          <w:sz w:val="24"/>
          <w:szCs w:val="24"/>
        </w:rPr>
      </w:pPr>
      <w:r w:rsidRPr="00277B2B">
        <w:rPr>
          <w:rFonts w:ascii="Arial" w:hAnsi="Arial" w:cs="Arial"/>
          <w:color w:val="000000"/>
          <w:sz w:val="24"/>
          <w:szCs w:val="24"/>
        </w:rPr>
        <w:t>Madame GALLEGO</w:t>
      </w:r>
    </w:p>
    <w:p w:rsidR="00E370F0" w:rsidRPr="00277B2B" w:rsidRDefault="00E370F0" w:rsidP="00E370F0">
      <w:pPr>
        <w:autoSpaceDE w:val="0"/>
        <w:autoSpaceDN w:val="0"/>
        <w:adjustRightInd w:val="0"/>
        <w:ind w:right="-851"/>
        <w:jc w:val="center"/>
        <w:rPr>
          <w:rFonts w:ascii="Arial" w:hAnsi="Arial" w:cs="Arial"/>
          <w:color w:val="000000"/>
          <w:sz w:val="24"/>
          <w:szCs w:val="24"/>
        </w:rPr>
      </w:pPr>
      <w:proofErr w:type="gramStart"/>
      <w:r w:rsidRPr="00277B2B">
        <w:rPr>
          <w:rFonts w:ascii="Arial" w:hAnsi="Arial" w:cs="Arial"/>
          <w:color w:val="000000"/>
          <w:sz w:val="24"/>
          <w:szCs w:val="24"/>
        </w:rPr>
        <w:t>Courriel:</w:t>
      </w:r>
      <w:proofErr w:type="gramEnd"/>
      <w:r w:rsidRPr="00277B2B">
        <w:rPr>
          <w:rFonts w:ascii="Arial" w:hAnsi="Arial" w:cs="Arial"/>
          <w:color w:val="000000"/>
          <w:sz w:val="24"/>
          <w:szCs w:val="24"/>
        </w:rPr>
        <w:t xml:space="preserve"> mairie@cerbere-village.com</w:t>
      </w:r>
    </w:p>
    <w:p w:rsidR="00E370F0" w:rsidRDefault="00E370F0" w:rsidP="00E370F0">
      <w:pPr>
        <w:autoSpaceDE w:val="0"/>
        <w:autoSpaceDN w:val="0"/>
        <w:adjustRightInd w:val="0"/>
        <w:ind w:right="-851"/>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Ces demandes de renseignements devront parvenir 10 jours avant la date limite de remise des offres pour que les réponses puissent être faites dans un délai raisonnable. Une réponse sera alors adressée, par écrit, à tous les candidats ayant retiré le dossier, 5 jours au plus tard avant la date limite de réception des offres.</w:t>
      </w:r>
    </w:p>
    <w:p w:rsidR="00E370F0" w:rsidRPr="00277B2B" w:rsidRDefault="00E370F0" w:rsidP="00E370F0">
      <w:pPr>
        <w:autoSpaceDE w:val="0"/>
        <w:autoSpaceDN w:val="0"/>
        <w:adjustRightInd w:val="0"/>
        <w:ind w:right="-851"/>
        <w:rPr>
          <w:rFonts w:ascii="Arial" w:hAnsi="Arial" w:cs="Arial"/>
          <w:color w:val="000000"/>
          <w:sz w:val="24"/>
          <w:szCs w:val="24"/>
        </w:rPr>
      </w:pPr>
      <w:r w:rsidRPr="00277B2B">
        <w:rPr>
          <w:rFonts w:ascii="Arial" w:hAnsi="Arial" w:cs="Arial"/>
          <w:color w:val="000000"/>
          <w:sz w:val="24"/>
          <w:szCs w:val="24"/>
        </w:rPr>
        <w:t>Pour ce faire il est demandé aux candidats ayant retiré le dossier d'adresser un mail à la commune dès le retrait du dossier contenant une adresse valide pour l'envoi des courriers : mairie@cerbere-village.com</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E370F0" w:rsidRDefault="00E370F0" w:rsidP="00E370F0">
      <w:pPr>
        <w:autoSpaceDE w:val="0"/>
        <w:autoSpaceDN w:val="0"/>
        <w:adjustRightInd w:val="0"/>
        <w:ind w:right="-851"/>
        <w:jc w:val="both"/>
        <w:rPr>
          <w:rFonts w:ascii="Arial" w:hAnsi="Arial" w:cs="Arial"/>
          <w:color w:val="000000"/>
          <w:sz w:val="24"/>
          <w:szCs w:val="24"/>
        </w:rPr>
      </w:pPr>
      <w:r w:rsidRPr="00E370F0">
        <w:rPr>
          <w:rFonts w:ascii="Arial" w:hAnsi="Arial" w:cs="Arial"/>
          <w:color w:val="000000"/>
          <w:sz w:val="24"/>
          <w:szCs w:val="24"/>
        </w:rPr>
        <w:t>Article 11- Recours</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Organe auprès duquel des recours peuvent être obtenus :</w:t>
      </w: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lastRenderedPageBreak/>
        <w:t>Instance chargée des procédures de recours et auprès de laquelle des renseignements peuvent être obtenus concernant l’introduction d’un recours :</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jc w:val="both"/>
        <w:rPr>
          <w:rFonts w:ascii="Arial" w:hAnsi="Arial" w:cs="Arial"/>
          <w:color w:val="000000"/>
          <w:sz w:val="24"/>
          <w:szCs w:val="24"/>
        </w:rPr>
      </w:pPr>
      <w:r w:rsidRPr="00277B2B">
        <w:rPr>
          <w:rFonts w:ascii="Arial" w:hAnsi="Arial" w:cs="Arial"/>
          <w:color w:val="000000"/>
          <w:sz w:val="24"/>
          <w:szCs w:val="24"/>
        </w:rPr>
        <w:t>Tribunal Administratif de MONTPELLIER – 3 rue Pitot – 34 000 MONTPELLIER</w:t>
      </w:r>
    </w:p>
    <w:p w:rsidR="00E370F0" w:rsidRPr="00277B2B" w:rsidRDefault="00E370F0" w:rsidP="00E370F0">
      <w:pPr>
        <w:autoSpaceDE w:val="0"/>
        <w:autoSpaceDN w:val="0"/>
        <w:adjustRightInd w:val="0"/>
        <w:ind w:right="-851"/>
        <w:jc w:val="both"/>
        <w:rPr>
          <w:rFonts w:ascii="Arial" w:hAnsi="Arial" w:cs="Arial"/>
          <w:color w:val="000000"/>
          <w:sz w:val="24"/>
          <w:szCs w:val="24"/>
        </w:rPr>
      </w:pPr>
    </w:p>
    <w:p w:rsidR="00E370F0" w:rsidRPr="00277B2B" w:rsidRDefault="00E370F0" w:rsidP="00E370F0">
      <w:pPr>
        <w:autoSpaceDE w:val="0"/>
        <w:autoSpaceDN w:val="0"/>
        <w:adjustRightInd w:val="0"/>
        <w:ind w:right="-851"/>
        <w:jc w:val="both"/>
        <w:rPr>
          <w:rFonts w:ascii="Arial" w:hAnsi="Arial" w:cs="Arial"/>
          <w:color w:val="000000"/>
          <w:sz w:val="24"/>
          <w:szCs w:val="24"/>
        </w:rPr>
      </w:pPr>
      <w:r w:rsidRPr="00277B2B">
        <w:rPr>
          <w:rFonts w:ascii="Arial" w:hAnsi="Arial" w:cs="Arial"/>
          <w:color w:val="000000"/>
          <w:sz w:val="24"/>
          <w:szCs w:val="24"/>
        </w:rPr>
        <w:t>Précisions concernant le(s) délai(s) d'introduction des recours : Délai de recours : cette consultation peut faire l'objet d'un référé avant la conclusion du contrat, dans les conditions définies à l'article L 551-1 du code de justice administrative. Un recours pour excès de pouvoir peut être formé à l'encontre des décisions faisant grief, dans les deux mois de leur publication ou notification.</w:t>
      </w:r>
    </w:p>
    <w:p w:rsidR="00E370F0" w:rsidRPr="00277B2B" w:rsidRDefault="00E370F0" w:rsidP="00E370F0">
      <w:pPr>
        <w:autoSpaceDE w:val="0"/>
        <w:autoSpaceDN w:val="0"/>
        <w:adjustRightInd w:val="0"/>
        <w:jc w:val="both"/>
        <w:rPr>
          <w:rFonts w:ascii="Arial" w:hAnsi="Arial" w:cs="Arial"/>
          <w:color w:val="000000"/>
          <w:sz w:val="24"/>
          <w:szCs w:val="24"/>
        </w:rPr>
      </w:pPr>
    </w:p>
    <w:p w:rsidR="00E370F0" w:rsidRPr="00277B2B" w:rsidRDefault="00E370F0" w:rsidP="00E370F0">
      <w:pPr>
        <w:jc w:val="both"/>
        <w:rPr>
          <w:rFonts w:ascii="Arial" w:hAnsi="Arial" w:cs="Arial"/>
          <w:color w:val="000000"/>
          <w:sz w:val="24"/>
          <w:szCs w:val="24"/>
        </w:rPr>
      </w:pPr>
    </w:p>
    <w:p w:rsidR="00E370F0" w:rsidRPr="00277B2B" w:rsidRDefault="00E370F0" w:rsidP="00E370F0">
      <w:pPr>
        <w:autoSpaceDE w:val="0"/>
        <w:autoSpaceDN w:val="0"/>
        <w:adjustRightInd w:val="0"/>
        <w:ind w:right="-851"/>
        <w:rPr>
          <w:rFonts w:ascii="Arial" w:hAnsi="Arial" w:cs="Arial"/>
          <w:color w:val="000000"/>
          <w:sz w:val="24"/>
          <w:szCs w:val="24"/>
        </w:rPr>
      </w:pPr>
    </w:p>
    <w:p w:rsidR="00C60C4E" w:rsidRDefault="00C60C4E" w:rsidP="00497D59">
      <w:pPr>
        <w:ind w:right="-993"/>
        <w:rPr>
          <w:rFonts w:ascii="Tahoma" w:hAnsi="Tahoma" w:cs="Tahoma"/>
          <w:sz w:val="24"/>
          <w:szCs w:val="24"/>
        </w:rPr>
      </w:pPr>
    </w:p>
    <w:p w:rsidR="00C60C4E" w:rsidRDefault="00C60C4E" w:rsidP="00497D59">
      <w:pPr>
        <w:ind w:right="-993"/>
        <w:rPr>
          <w:rFonts w:ascii="Tahoma" w:hAnsi="Tahoma" w:cs="Tahoma"/>
          <w:sz w:val="24"/>
          <w:szCs w:val="24"/>
        </w:rPr>
      </w:pPr>
      <w:bookmarkStart w:id="4" w:name="_Hlk523919327"/>
      <w:r>
        <w:rPr>
          <w:rFonts w:ascii="Tahoma" w:hAnsi="Tahoma" w:cs="Tahoma"/>
          <w:sz w:val="24"/>
          <w:szCs w:val="24"/>
        </w:rPr>
        <w:t>A Cerbère le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A……………………………Le</w:t>
      </w:r>
    </w:p>
    <w:p w:rsidR="00C60C4E" w:rsidRDefault="00C60C4E" w:rsidP="00497D59">
      <w:pPr>
        <w:ind w:right="-993"/>
        <w:rPr>
          <w:rFonts w:ascii="Tahoma" w:hAnsi="Tahoma" w:cs="Tahoma"/>
          <w:sz w:val="24"/>
          <w:szCs w:val="24"/>
        </w:rPr>
      </w:pPr>
      <w:r>
        <w:rPr>
          <w:rFonts w:ascii="Tahoma" w:hAnsi="Tahoma" w:cs="Tahoma"/>
          <w:sz w:val="24"/>
          <w:szCs w:val="24"/>
        </w:rPr>
        <w:t>Le pouvoir Adjudicateur</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lu et approuvé</w:t>
      </w:r>
    </w:p>
    <w:p w:rsidR="00C60C4E" w:rsidRPr="009E38C0" w:rsidRDefault="00C60C4E" w:rsidP="00497D59">
      <w:pPr>
        <w:ind w:right="-993"/>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L’entreprise</w:t>
      </w:r>
      <w:bookmarkEnd w:id="4"/>
    </w:p>
    <w:sectPr w:rsidR="00C60C4E" w:rsidRPr="009E38C0" w:rsidSect="005462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F48" w:rsidRDefault="00447F48" w:rsidP="008F2D65">
      <w:r>
        <w:separator/>
      </w:r>
    </w:p>
  </w:endnote>
  <w:endnote w:type="continuationSeparator" w:id="0">
    <w:p w:rsidR="00447F48" w:rsidRDefault="00447F48" w:rsidP="008F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751610"/>
      <w:docPartObj>
        <w:docPartGallery w:val="Page Numbers (Bottom of Page)"/>
        <w:docPartUnique/>
      </w:docPartObj>
    </w:sdtPr>
    <w:sdtEndPr/>
    <w:sdtContent>
      <w:p w:rsidR="00995898" w:rsidRPr="00995898" w:rsidRDefault="00902C4E" w:rsidP="00995898">
        <w:pPr>
          <w:jc w:val="both"/>
          <w:rPr>
            <w:rFonts w:ascii="Arial" w:hAnsi="Arial"/>
          </w:rPr>
        </w:pPr>
        <w:r w:rsidRPr="00995898">
          <w:rPr>
            <w:noProof/>
          </w:rPr>
          <mc:AlternateContent>
            <mc:Choice Requires="wpg">
              <w:drawing>
                <wp:anchor distT="0" distB="0" distL="114300" distR="114300" simplePos="0" relativeHeight="251659264"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2C4E" w:rsidRDefault="00902C4E"/>
                            </w:txbxContent>
                          </wps:txbx>
                          <wps:bodyPr rot="0" vert="horz" wrap="square" lIns="91440" tIns="45720" rIns="91440" bIns="45720" anchor="t" anchorCtr="0" upright="1">
                            <a:noAutofit/>
                          </wps:bodyPr>
                        </wps:wsp>
                        <wps:wsp>
                          <wps:cNvPr id="4"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902C4E" w:rsidRDefault="00902C4E">
                                <w:pPr>
                                  <w:pStyle w:val="Pieddepage"/>
                                  <w:jc w:val="center"/>
                                </w:pPr>
                                <w:r>
                                  <w:fldChar w:fldCharType="begin"/>
                                </w:r>
                                <w:r>
                                  <w:instrText>PAGE   \* MERGEFORMAT</w:instrText>
                                </w:r>
                                <w:r>
                                  <w:fldChar w:fldCharType="separate"/>
                                </w:r>
                                <w: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left:0;text-align:left;margin-left:20.8pt;margin-top:0;width:1in;height:1in;z-index:25165926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mvtwMAACoKAAAOAAAAZHJzL2Uyb0RvYy54bWy8Vtty4zYMfe/M/gOH744ulnzRRNlJfEk7&#10;k7aZbvsBtERdWolUSTpyttN/LwhKjp1m22x2Z/0ggwQIAgc4kC7fH9qGPHClaylSGlz4lHCRybwW&#10;ZUp/+3U7WVCiDRM5a6TgKX3kmr6/evfdZd8lPJSVbHKuCDgROum7lFbGdInn6aziLdMXsuMClIVU&#10;LTOwVKWXK9aD97bxQt+feb1UeadkxrWG3bVT0iv0XxQ8Mz8XheaGNCmF2Aw+FT539uldXbKkVKyr&#10;6mwIg70hipbVAi49ulozw8he1f9y1daZkloW5iKTrSeLos445gDZBP6zbG6V3HeYS5n0ZXeECaB9&#10;htOb3WY/PdwrUucpDSkRrIUS4a2chBabvisTMLlV3YfuXrkEQbyT2R8a1N5zvV2Xzpjs+h9lDv7Y&#10;3kjE5lCo1rqArMkBS/B4LAE/GJLB5jKIIh8KlYFqkLFEWQV1tKcCf2H1oHaWg3YznLeb7jRKNkaW&#10;uIsx2CE4mxk0nH7CVH8Zph8q1nEslbaADZhOR0x/gUZkomyOsKLViKl2gBIhVxVY8WulZF9xlkNQ&#10;gS0DhH5ywC40lON/EX4RqxHp/0CKJZ3S5pbLllghpQrCxxKyhzttHKijia2olk2db+umwYUqd6tG&#10;kQcGnNviD3N4ZtYIayykPeY8uh2ID+6wOhspcuivZRBG/k24nGxni/kk2kbxZDn3FxM/WN4sZ360&#10;jNbbv22AQZRUdZ5zcVcLPvI5iF5X22GyOCYio0kPXRiHMeb+6SR9/L2UZFsbGG9N3aYU2hZ+1ogl&#10;trYbkaNsWN042TsPH1sXMBj/ERXsBFt818HmsDuAF9sRO5k/Qk8oCfUCCsBMBqGS6iMlPcy3lOo/&#10;90xxSpofBPQVkgsGIi6ieB7CGXWq2Z1qmMjAVUoNJU5cGTdE952qywpuChAjIa+B7UWNPfIU1dDB&#10;wLdvRLxoJJ4NB7lJphb6Mx5BQ35N4jnog2nsCk2Kpu6+H4EZZh4wMoChgNNrHkWuG46MDMLAza5o&#10;GQ/dNM7MkW0DISvZ8vuGGTtyWIKstEKZDzOc5b9TUrQNvMuAhiSezYLZ4HEwhrE4+rQnjzxkSSNe&#10;2fbxajG9wRzA2Rk7PrPt4Uobw4vM95ebxWYRTaJwtplE/no9ud6uoslsG8zj9XS9Wq2Dc+bbefLl&#10;zLfxnKWkT6fapzI/YbCbhgDMKxiM718c9E+UeRuRXyYx7I4EzowaF2+nML5J4YMEJ9Pw8WS/eE7X&#10;SPmnT7yrfwAAAP//AwBQSwMEFAAGAAgAAAAhAMqvLdbYAAAABQEAAA8AAABkcnMvZG93bnJldi54&#10;bWxMj0FLw0AQhe+C/2EZwZvdRKtIzKaUop6KYCuIt2l2moRmZ0N2m6T/3qkIehnm8YY338sXk2vV&#10;QH1oPBtIZwko4tLbhisDH9uXm0dQISJbbD2TgRMFWBSXFzlm1o/8TsMmVkpCOGRooI6xy7QOZU0O&#10;w8x3xOLtfe8wiuwrbXscJdy1+jZJHrTDhuVDjR2taioPm6Mz8DriuLxLn4f1Yb86fW3v3z7XKRlz&#10;fTUtn0BFmuLfMZzxBR0KYdr5I9ugWgNSJP7Mszefi9z9LrrI9X/64hsAAP//AwBQSwECLQAUAAYA&#10;CAAAACEAtoM4kv4AAADhAQAAEwAAAAAAAAAAAAAAAAAAAAAAW0NvbnRlbnRfVHlwZXNdLnhtbFBL&#10;AQItABQABgAIAAAAIQA4/SH/1gAAAJQBAAALAAAAAAAAAAAAAAAAAC8BAABfcmVscy8ucmVsc1BL&#10;AQItABQABgAIAAAAIQCtPdmvtwMAACoKAAAOAAAAAAAAAAAAAAAAAC4CAABkcnMvZTJvRG9jLnht&#10;bFBLAQItABQABgAIAAAAIQDKry3W2AAAAAUBAAAPAAAAAAAAAAAAAAAAABEGAABkcnMvZG93bnJl&#10;di54bWxQSwUGAAAAAAQABADzAAAAFgcAAAAA&#10;" o:allowincell="f">
                  <v:rect id="Rectangle 2" o:spid="_x0000_s1027"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rsidR="00902C4E" w:rsidRDefault="00902C4E"/>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8"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SGwwAAANoAAAAPAAAAZHJzL2Rvd25yZXYueG1sRI9Ba8JA&#10;FITvgv9heYI33VjESOoqIlhLLaWmzf01+0yC2bchu2r8925B8DjMzDfMYtWZWlyodZVlBZNxBII4&#10;t7riQsHvz3Y0B+E8ssbaMim4kYPVst9bYKLtlQ90SX0hAoRdggpK75tESpeXZNCNbUMcvKNtDfog&#10;20LqFq8Bbmr5EkUzabDisFBiQ5uS8lN6NgriXfz3+U1ZfXzL4o9sn2ay+toqNRx061cQnjr/DD/a&#10;71rBFP6vhBsgl3cAAAD//wMAUEsBAi0AFAAGAAgAAAAhANvh9svuAAAAhQEAABMAAAAAAAAAAAAA&#10;AAAAAAAAAFtDb250ZW50X1R5cGVzXS54bWxQSwECLQAUAAYACAAAACEAWvQsW78AAAAVAQAACwAA&#10;AAAAAAAAAAAAAAAfAQAAX3JlbHMvLnJlbHNQSwECLQAUAAYACAAAACEAp0EUhsMAAADaAAAADwAA&#10;AAAAAAAAAAAAAAAHAgAAZHJzL2Rvd25yZXYueG1sUEsFBgAAAAADAAMAtwAAAPcCAAAAAA==&#10;" filled="f" fillcolor="#5c83b4" strokecolor="#5c83b4">
                    <v:textbox inset=",0,,0">
                      <w:txbxContent>
                        <w:p w:rsidR="00902C4E" w:rsidRDefault="00902C4E">
                          <w:pPr>
                            <w:pStyle w:val="Pieddepage"/>
                            <w:jc w:val="center"/>
                          </w:pPr>
                          <w:r>
                            <w:fldChar w:fldCharType="begin"/>
                          </w:r>
                          <w:r>
                            <w:instrText>PAGE   \* MERGEFORMAT</w:instrText>
                          </w:r>
                          <w:r>
                            <w:fldChar w:fldCharType="separate"/>
                          </w:r>
                          <w:r>
                            <w:t>2</w:t>
                          </w:r>
                          <w:r>
                            <w:fldChar w:fldCharType="end"/>
                          </w:r>
                        </w:p>
                      </w:txbxContent>
                    </v:textbox>
                  </v:shape>
                  <w10:wrap anchorx="margin" anchory="margin"/>
                </v:group>
              </w:pict>
            </mc:Fallback>
          </mc:AlternateContent>
        </w:r>
        <w:r w:rsidR="00995898" w:rsidRPr="00995898">
          <w:rPr>
            <w:noProof/>
          </w:rPr>
          <w:t xml:space="preserve">RDC - </w:t>
        </w:r>
        <w:r w:rsidR="00995898" w:rsidRPr="00995898">
          <w:rPr>
            <w:rFonts w:ascii="Arial" w:hAnsi="Arial"/>
          </w:rPr>
          <w:t>Marché de travaux remplacement de candélabres et reprise réseaux éclairage public du Front de Mer et de la Place de la République</w:t>
        </w:r>
      </w:p>
      <w:p w:rsidR="00995898" w:rsidRPr="00995898" w:rsidRDefault="00995898" w:rsidP="00995898">
        <w:pPr>
          <w:jc w:val="both"/>
          <w:rPr>
            <w:rFonts w:ascii="Arial" w:hAnsi="Arial"/>
          </w:rPr>
        </w:pPr>
      </w:p>
      <w:p w:rsidR="00902C4E" w:rsidRPr="00995898" w:rsidRDefault="009B562E">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F48" w:rsidRDefault="00447F48" w:rsidP="008F2D65">
      <w:r>
        <w:separator/>
      </w:r>
    </w:p>
  </w:footnote>
  <w:footnote w:type="continuationSeparator" w:id="0">
    <w:p w:rsidR="00447F48" w:rsidRDefault="00447F48" w:rsidP="008F2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68A"/>
    <w:multiLevelType w:val="hybridMultilevel"/>
    <w:tmpl w:val="AFFE24D0"/>
    <w:lvl w:ilvl="0" w:tplc="58484C96">
      <w:numFmt w:val="bullet"/>
      <w:lvlText w:val="-"/>
      <w:lvlJc w:val="left"/>
      <w:pPr>
        <w:ind w:left="2988" w:hanging="360"/>
      </w:pPr>
      <w:rPr>
        <w:rFonts w:ascii="Arial" w:eastAsia="Times New Roman" w:hAnsi="Arial" w:cs="Aria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1" w15:restartNumberingAfterBreak="0">
    <w:nsid w:val="78727830"/>
    <w:multiLevelType w:val="hybridMultilevel"/>
    <w:tmpl w:val="578051D0"/>
    <w:lvl w:ilvl="0" w:tplc="AF4C97DC">
      <w:numFmt w:val="bullet"/>
      <w:lvlText w:val="-"/>
      <w:lvlJc w:val="left"/>
      <w:pPr>
        <w:ind w:left="2628" w:hanging="360"/>
      </w:pPr>
      <w:rPr>
        <w:rFonts w:ascii="Arial" w:eastAsia="Times New Roman" w:hAnsi="Arial" w:cs="Aria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 w15:restartNumberingAfterBreak="0">
    <w:nsid w:val="798C3467"/>
    <w:multiLevelType w:val="hybridMultilevel"/>
    <w:tmpl w:val="3C4E010C"/>
    <w:lvl w:ilvl="0" w:tplc="A1388858">
      <w:start w:val="10"/>
      <w:numFmt w:val="bullet"/>
      <w:lvlText w:val=""/>
      <w:lvlJc w:val="left"/>
      <w:pPr>
        <w:ind w:left="2202" w:hanging="360"/>
      </w:pPr>
      <w:rPr>
        <w:rFonts w:ascii="Symbol" w:eastAsia="Times New Roman" w:hAnsi="Symbol" w:cs="Arial" w:hint="default"/>
      </w:rPr>
    </w:lvl>
    <w:lvl w:ilvl="1" w:tplc="040C0003" w:tentative="1">
      <w:start w:val="1"/>
      <w:numFmt w:val="bullet"/>
      <w:lvlText w:val="o"/>
      <w:lvlJc w:val="left"/>
      <w:pPr>
        <w:ind w:left="2922" w:hanging="360"/>
      </w:pPr>
      <w:rPr>
        <w:rFonts w:ascii="Courier New" w:hAnsi="Courier New" w:cs="Courier New" w:hint="default"/>
      </w:rPr>
    </w:lvl>
    <w:lvl w:ilvl="2" w:tplc="040C0005" w:tentative="1">
      <w:start w:val="1"/>
      <w:numFmt w:val="bullet"/>
      <w:lvlText w:val=""/>
      <w:lvlJc w:val="left"/>
      <w:pPr>
        <w:ind w:left="3642" w:hanging="360"/>
      </w:pPr>
      <w:rPr>
        <w:rFonts w:ascii="Wingdings" w:hAnsi="Wingdings" w:hint="default"/>
      </w:rPr>
    </w:lvl>
    <w:lvl w:ilvl="3" w:tplc="040C0001" w:tentative="1">
      <w:start w:val="1"/>
      <w:numFmt w:val="bullet"/>
      <w:lvlText w:val=""/>
      <w:lvlJc w:val="left"/>
      <w:pPr>
        <w:ind w:left="4362" w:hanging="360"/>
      </w:pPr>
      <w:rPr>
        <w:rFonts w:ascii="Symbol" w:hAnsi="Symbol" w:hint="default"/>
      </w:rPr>
    </w:lvl>
    <w:lvl w:ilvl="4" w:tplc="040C0003" w:tentative="1">
      <w:start w:val="1"/>
      <w:numFmt w:val="bullet"/>
      <w:lvlText w:val="o"/>
      <w:lvlJc w:val="left"/>
      <w:pPr>
        <w:ind w:left="5082" w:hanging="360"/>
      </w:pPr>
      <w:rPr>
        <w:rFonts w:ascii="Courier New" w:hAnsi="Courier New" w:cs="Courier New" w:hint="default"/>
      </w:rPr>
    </w:lvl>
    <w:lvl w:ilvl="5" w:tplc="040C0005" w:tentative="1">
      <w:start w:val="1"/>
      <w:numFmt w:val="bullet"/>
      <w:lvlText w:val=""/>
      <w:lvlJc w:val="left"/>
      <w:pPr>
        <w:ind w:left="5802" w:hanging="360"/>
      </w:pPr>
      <w:rPr>
        <w:rFonts w:ascii="Wingdings" w:hAnsi="Wingdings" w:hint="default"/>
      </w:rPr>
    </w:lvl>
    <w:lvl w:ilvl="6" w:tplc="040C0001" w:tentative="1">
      <w:start w:val="1"/>
      <w:numFmt w:val="bullet"/>
      <w:lvlText w:val=""/>
      <w:lvlJc w:val="left"/>
      <w:pPr>
        <w:ind w:left="6522" w:hanging="360"/>
      </w:pPr>
      <w:rPr>
        <w:rFonts w:ascii="Symbol" w:hAnsi="Symbol" w:hint="default"/>
      </w:rPr>
    </w:lvl>
    <w:lvl w:ilvl="7" w:tplc="040C0003" w:tentative="1">
      <w:start w:val="1"/>
      <w:numFmt w:val="bullet"/>
      <w:lvlText w:val="o"/>
      <w:lvlJc w:val="left"/>
      <w:pPr>
        <w:ind w:left="7242" w:hanging="360"/>
      </w:pPr>
      <w:rPr>
        <w:rFonts w:ascii="Courier New" w:hAnsi="Courier New" w:cs="Courier New" w:hint="default"/>
      </w:rPr>
    </w:lvl>
    <w:lvl w:ilvl="8" w:tplc="040C0005" w:tentative="1">
      <w:start w:val="1"/>
      <w:numFmt w:val="bullet"/>
      <w:lvlText w:val=""/>
      <w:lvlJc w:val="left"/>
      <w:pPr>
        <w:ind w:left="796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48"/>
    <w:rsid w:val="000552A9"/>
    <w:rsid w:val="00073468"/>
    <w:rsid w:val="00075008"/>
    <w:rsid w:val="00077863"/>
    <w:rsid w:val="00091D8E"/>
    <w:rsid w:val="000B5D48"/>
    <w:rsid w:val="000B5D98"/>
    <w:rsid w:val="000C071A"/>
    <w:rsid w:val="000D17C4"/>
    <w:rsid w:val="000E01AD"/>
    <w:rsid w:val="001660AC"/>
    <w:rsid w:val="00175E13"/>
    <w:rsid w:val="001832A7"/>
    <w:rsid w:val="00240153"/>
    <w:rsid w:val="002538A8"/>
    <w:rsid w:val="002566E1"/>
    <w:rsid w:val="0026328A"/>
    <w:rsid w:val="0027384B"/>
    <w:rsid w:val="002B59F7"/>
    <w:rsid w:val="002E148A"/>
    <w:rsid w:val="002E671D"/>
    <w:rsid w:val="002E7BD9"/>
    <w:rsid w:val="002F5365"/>
    <w:rsid w:val="00346464"/>
    <w:rsid w:val="00346DBA"/>
    <w:rsid w:val="00377662"/>
    <w:rsid w:val="00397C9B"/>
    <w:rsid w:val="003A4DB1"/>
    <w:rsid w:val="003B4DDA"/>
    <w:rsid w:val="003C698C"/>
    <w:rsid w:val="00405596"/>
    <w:rsid w:val="004276B2"/>
    <w:rsid w:val="00447F48"/>
    <w:rsid w:val="00483F31"/>
    <w:rsid w:val="00497D59"/>
    <w:rsid w:val="004A5DBC"/>
    <w:rsid w:val="004B362B"/>
    <w:rsid w:val="004E6185"/>
    <w:rsid w:val="00526090"/>
    <w:rsid w:val="005357BF"/>
    <w:rsid w:val="005462BE"/>
    <w:rsid w:val="00551A05"/>
    <w:rsid w:val="005530DC"/>
    <w:rsid w:val="00561B24"/>
    <w:rsid w:val="00573100"/>
    <w:rsid w:val="00586CA2"/>
    <w:rsid w:val="005873DD"/>
    <w:rsid w:val="00595FA5"/>
    <w:rsid w:val="005B3D4B"/>
    <w:rsid w:val="005C4791"/>
    <w:rsid w:val="005E3B9A"/>
    <w:rsid w:val="00612C94"/>
    <w:rsid w:val="0062756F"/>
    <w:rsid w:val="00655240"/>
    <w:rsid w:val="00664F07"/>
    <w:rsid w:val="006B5F3C"/>
    <w:rsid w:val="006B7603"/>
    <w:rsid w:val="006E0F28"/>
    <w:rsid w:val="006E2C5B"/>
    <w:rsid w:val="006E5132"/>
    <w:rsid w:val="006F4D1C"/>
    <w:rsid w:val="0072673A"/>
    <w:rsid w:val="00731C16"/>
    <w:rsid w:val="007370A3"/>
    <w:rsid w:val="007542A2"/>
    <w:rsid w:val="007C4632"/>
    <w:rsid w:val="00844F99"/>
    <w:rsid w:val="008A6C5F"/>
    <w:rsid w:val="008C4BE8"/>
    <w:rsid w:val="008D43BC"/>
    <w:rsid w:val="008E1DF2"/>
    <w:rsid w:val="008F2D65"/>
    <w:rsid w:val="00902C4E"/>
    <w:rsid w:val="00926E82"/>
    <w:rsid w:val="00947193"/>
    <w:rsid w:val="00971898"/>
    <w:rsid w:val="009918AE"/>
    <w:rsid w:val="00995898"/>
    <w:rsid w:val="009B562E"/>
    <w:rsid w:val="009B58C5"/>
    <w:rsid w:val="009C3A3B"/>
    <w:rsid w:val="009C46F5"/>
    <w:rsid w:val="009E38C0"/>
    <w:rsid w:val="00A2227B"/>
    <w:rsid w:val="00A33689"/>
    <w:rsid w:val="00A370DD"/>
    <w:rsid w:val="00A43493"/>
    <w:rsid w:val="00A51526"/>
    <w:rsid w:val="00AA68DF"/>
    <w:rsid w:val="00AC5B7E"/>
    <w:rsid w:val="00AF50C7"/>
    <w:rsid w:val="00B51016"/>
    <w:rsid w:val="00B55945"/>
    <w:rsid w:val="00B90F01"/>
    <w:rsid w:val="00B97DE3"/>
    <w:rsid w:val="00BA59CA"/>
    <w:rsid w:val="00BB6FC4"/>
    <w:rsid w:val="00BF7795"/>
    <w:rsid w:val="00C60C4E"/>
    <w:rsid w:val="00C67913"/>
    <w:rsid w:val="00C912F1"/>
    <w:rsid w:val="00CD1FF1"/>
    <w:rsid w:val="00CF16A6"/>
    <w:rsid w:val="00D10336"/>
    <w:rsid w:val="00D146C7"/>
    <w:rsid w:val="00DC3C10"/>
    <w:rsid w:val="00E363C2"/>
    <w:rsid w:val="00E370F0"/>
    <w:rsid w:val="00E50117"/>
    <w:rsid w:val="00E521C6"/>
    <w:rsid w:val="00E60654"/>
    <w:rsid w:val="00E62208"/>
    <w:rsid w:val="00EA455C"/>
    <w:rsid w:val="00EF0F36"/>
    <w:rsid w:val="00EF58FB"/>
    <w:rsid w:val="00F203FF"/>
    <w:rsid w:val="00F2567D"/>
    <w:rsid w:val="00F263A9"/>
    <w:rsid w:val="00F525E8"/>
    <w:rsid w:val="00F64C85"/>
    <w:rsid w:val="00F82B5A"/>
    <w:rsid w:val="00FD4192"/>
    <w:rsid w:val="00FD4A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174C36"/>
  <w15:docId w15:val="{6521AA74-91BF-42F4-B720-D320F1C7C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D6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8F2D65"/>
    <w:pPr>
      <w:tabs>
        <w:tab w:val="center" w:pos="4819"/>
        <w:tab w:val="right" w:pos="9071"/>
      </w:tabs>
    </w:pPr>
  </w:style>
  <w:style w:type="character" w:customStyle="1" w:styleId="En-tteCar">
    <w:name w:val="En-tête Car"/>
    <w:basedOn w:val="Policepardfaut"/>
    <w:link w:val="En-tte"/>
    <w:semiHidden/>
    <w:rsid w:val="008F2D65"/>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8F2D65"/>
    <w:rPr>
      <w:rFonts w:ascii="Tahoma" w:hAnsi="Tahoma" w:cs="Tahoma"/>
      <w:sz w:val="16"/>
      <w:szCs w:val="16"/>
    </w:rPr>
  </w:style>
  <w:style w:type="character" w:customStyle="1" w:styleId="TextedebullesCar">
    <w:name w:val="Texte de bulles Car"/>
    <w:basedOn w:val="Policepardfaut"/>
    <w:link w:val="Textedebulles"/>
    <w:uiPriority w:val="99"/>
    <w:semiHidden/>
    <w:rsid w:val="008F2D65"/>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8F2D65"/>
    <w:pPr>
      <w:tabs>
        <w:tab w:val="center" w:pos="4536"/>
        <w:tab w:val="right" w:pos="9072"/>
      </w:tabs>
    </w:pPr>
  </w:style>
  <w:style w:type="character" w:customStyle="1" w:styleId="PieddepageCar">
    <w:name w:val="Pied de page Car"/>
    <w:basedOn w:val="Policepardfaut"/>
    <w:link w:val="Pieddepage"/>
    <w:uiPriority w:val="99"/>
    <w:rsid w:val="008F2D65"/>
    <w:rPr>
      <w:rFonts w:ascii="Times New Roman" w:eastAsia="Times New Roman" w:hAnsi="Times New Roman" w:cs="Times New Roman"/>
      <w:sz w:val="20"/>
      <w:szCs w:val="20"/>
      <w:lang w:eastAsia="fr-FR"/>
    </w:rPr>
  </w:style>
  <w:style w:type="character" w:styleId="Lienhypertexte">
    <w:name w:val="Hyperlink"/>
    <w:basedOn w:val="Policepardfaut"/>
    <w:semiHidden/>
    <w:rsid w:val="008F2D65"/>
    <w:rPr>
      <w:color w:val="0000FF"/>
      <w:u w:val="single"/>
    </w:rPr>
  </w:style>
  <w:style w:type="paragraph" w:styleId="Paragraphedeliste">
    <w:name w:val="List Paragraph"/>
    <w:basedOn w:val="Normal"/>
    <w:uiPriority w:val="34"/>
    <w:qFormat/>
    <w:rsid w:val="008A6C5F"/>
    <w:pPr>
      <w:ind w:left="720"/>
      <w:contextualSpacing/>
    </w:pPr>
  </w:style>
  <w:style w:type="character" w:styleId="Mentionnonrsolue">
    <w:name w:val="Unresolved Mention"/>
    <w:basedOn w:val="Policepardfaut"/>
    <w:uiPriority w:val="99"/>
    <w:semiHidden/>
    <w:unhideWhenUsed/>
    <w:rsid w:val="002566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847277">
      <w:bodyDiv w:val="1"/>
      <w:marLeft w:val="0"/>
      <w:marRight w:val="0"/>
      <w:marTop w:val="0"/>
      <w:marBottom w:val="0"/>
      <w:divBdr>
        <w:top w:val="none" w:sz="0" w:space="0" w:color="auto"/>
        <w:left w:val="none" w:sz="0" w:space="0" w:color="auto"/>
        <w:bottom w:val="none" w:sz="0" w:space="0" w:color="auto"/>
        <w:right w:val="none" w:sz="0" w:space="0" w:color="auto"/>
      </w:divBdr>
    </w:div>
    <w:div w:id="19056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bere-villag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koon.com" TargetMode="External"/><Relationship Id="rId5" Type="http://schemas.openxmlformats.org/officeDocument/2006/relationships/footnotes" Target="footnotes.xml"/><Relationship Id="rId10" Type="http://schemas.openxmlformats.org/officeDocument/2006/relationships/hyperlink" Target="http://www.economie.gouv.fr" TargetMode="External"/><Relationship Id="rId4" Type="http://schemas.openxmlformats.org/officeDocument/2006/relationships/webSettings" Target="webSettings.xml"/><Relationship Id="rId9" Type="http://schemas.openxmlformats.org/officeDocument/2006/relationships/hyperlink" Target="http://www.klekoon.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1649</Words>
  <Characters>9071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CAMOS</dc:creator>
  <cp:lastModifiedBy>Stéphanie GALLEGO</cp:lastModifiedBy>
  <cp:revision>5</cp:revision>
  <cp:lastPrinted>2019-02-13T14:24:00Z</cp:lastPrinted>
  <dcterms:created xsi:type="dcterms:W3CDTF">2019-02-12T13:44:00Z</dcterms:created>
  <dcterms:modified xsi:type="dcterms:W3CDTF">2019-02-15T13:05:00Z</dcterms:modified>
</cp:coreProperties>
</file>